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784C" w14:textId="77777777" w:rsidR="0088539E" w:rsidRPr="00637AC0" w:rsidRDefault="0088539E" w:rsidP="0088539E">
      <w:pPr>
        <w:jc w:val="center"/>
        <w:rPr>
          <w:b/>
        </w:rPr>
      </w:pPr>
      <w:r w:rsidRPr="00637AC0">
        <w:rPr>
          <w:b/>
        </w:rPr>
        <w:t>ΕΙΣΗΓΗΣΗ ΤΗΣ ΕΠΙΤΡΟΠΗΣ ΑΞΙΟΛΟΓΗΣΗΣ</w:t>
      </w:r>
    </w:p>
    <w:p w14:paraId="67EAF3CB" w14:textId="77777777" w:rsidR="0088539E" w:rsidRDefault="0088539E" w:rsidP="0088539E">
      <w:pPr>
        <w:jc w:val="both"/>
        <w:rPr>
          <w:rFonts w:ascii="Comic Sans MS" w:hAnsi="Comic Sans MS"/>
        </w:rPr>
      </w:pPr>
    </w:p>
    <w:p w14:paraId="3B979A13" w14:textId="3DD09A6A" w:rsidR="0088539E" w:rsidRDefault="0088539E" w:rsidP="0088539E">
      <w:pPr>
        <w:jc w:val="both"/>
      </w:pPr>
      <w:r w:rsidRPr="00637AC0">
        <w:t>Η Επιτροπή Αξιολόγησης  των υποψηφίων για το Πρόγραμμα Μεταπτυχιακών Σπουδών-Διδακτορικών Διατριβών του Τμήματος Ελληνικής Φιλολογίας του Δ.Π.Θ. που ορίστηκε στην ΧΧΧΧ Γενική Συνέλευση</w:t>
      </w:r>
      <w:r w:rsidR="00BC43A9">
        <w:t xml:space="preserve"> </w:t>
      </w:r>
      <w:bookmarkStart w:id="0" w:name="_GoBack"/>
      <w:bookmarkEnd w:id="0"/>
      <w:r w:rsidRPr="00637AC0">
        <w:t xml:space="preserve">του Τ.Ε.Φ. συνήλθε </w:t>
      </w:r>
      <w:r>
        <w:t>στις</w:t>
      </w:r>
      <w:r w:rsidRPr="00637AC0">
        <w:t xml:space="preserve"> ……………………………….., ημέρα…………………………και ώρα …………………..για να αξιολογήσει </w:t>
      </w:r>
      <w:r>
        <w:t>τους</w:t>
      </w:r>
      <w:r w:rsidRPr="00637AC0">
        <w:t xml:space="preserve"> υποψήφιους για εκπόνηση διδακτορικής διατριβής στο ΤΕΦ. Αφού έλαβε υπόψη την επίδοση των υποψηφίων στις Εξετάσεις γλώσσας,</w:t>
      </w:r>
      <w:r>
        <w:t xml:space="preserve"> </w:t>
      </w:r>
      <w:r w:rsidRPr="00637AC0">
        <w:t xml:space="preserve">την προσωπική συνέντευξη των υποψηφίων, και τα λοιπά στοιχεία του φακέλου εισηγείται την  </w:t>
      </w:r>
      <w:r>
        <w:t>εγγραφή για εκπόνηση διδακτορικής διατριβής των κάτωθι:</w:t>
      </w:r>
    </w:p>
    <w:p w14:paraId="41FE90E3" w14:textId="77777777" w:rsidR="0088539E" w:rsidRDefault="0088539E" w:rsidP="0088539E">
      <w:pPr>
        <w:jc w:val="both"/>
      </w:pPr>
    </w:p>
    <w:p w14:paraId="5E0920F7" w14:textId="77777777" w:rsidR="0088539E" w:rsidRDefault="0088539E" w:rsidP="0088539E">
      <w:pPr>
        <w:jc w:val="both"/>
      </w:pPr>
      <w:r>
        <w:t>1.</w:t>
      </w:r>
    </w:p>
    <w:p w14:paraId="1F428F08" w14:textId="77777777" w:rsidR="0088539E" w:rsidRDefault="0088539E" w:rsidP="0088539E">
      <w:pPr>
        <w:jc w:val="both"/>
      </w:pPr>
      <w:r>
        <w:t>2.</w:t>
      </w:r>
    </w:p>
    <w:p w14:paraId="5775DD94" w14:textId="77777777" w:rsidR="0088539E" w:rsidRDefault="0088539E" w:rsidP="0088539E">
      <w:pPr>
        <w:jc w:val="both"/>
      </w:pPr>
      <w:r>
        <w:t>3.</w:t>
      </w:r>
    </w:p>
    <w:p w14:paraId="5FC24F08" w14:textId="77777777" w:rsidR="0088539E" w:rsidRDefault="0088539E" w:rsidP="0088539E">
      <w:pPr>
        <w:jc w:val="both"/>
      </w:pPr>
      <w:r>
        <w:t>4.</w:t>
      </w:r>
    </w:p>
    <w:p w14:paraId="3C5EBEB2" w14:textId="77777777" w:rsidR="0088539E" w:rsidRDefault="0088539E" w:rsidP="0088539E">
      <w:pPr>
        <w:jc w:val="both"/>
      </w:pPr>
      <w:r>
        <w:t>Επισυνάπτεται Πίνακας με την Αναλυτική Βαθμολογία των υποψηφίων</w:t>
      </w:r>
    </w:p>
    <w:p w14:paraId="19C695DF" w14:textId="77777777" w:rsidR="0088539E" w:rsidRDefault="0088539E" w:rsidP="0088539E">
      <w:pPr>
        <w:jc w:val="both"/>
      </w:pPr>
    </w:p>
    <w:p w14:paraId="7270525E" w14:textId="77777777" w:rsidR="0088539E" w:rsidRDefault="0088539E" w:rsidP="0088539E">
      <w:pPr>
        <w:jc w:val="both"/>
      </w:pPr>
    </w:p>
    <w:p w14:paraId="5A14CF7E" w14:textId="77777777" w:rsidR="0088539E" w:rsidRDefault="0088539E" w:rsidP="0088539E">
      <w:pPr>
        <w:jc w:val="both"/>
      </w:pPr>
    </w:p>
    <w:p w14:paraId="6B68EB9D" w14:textId="77777777" w:rsidR="0088539E" w:rsidRPr="00637AC0" w:rsidRDefault="0088539E" w:rsidP="0088539E">
      <w:pPr>
        <w:jc w:val="both"/>
        <w:rPr>
          <w:b/>
        </w:rPr>
      </w:pPr>
      <w:r>
        <w:rPr>
          <w:b/>
          <w:u w:val="single"/>
        </w:rPr>
        <w:t xml:space="preserve">Η </w:t>
      </w:r>
      <w:r w:rsidRPr="00637AC0">
        <w:rPr>
          <w:b/>
          <w:u w:val="single"/>
        </w:rPr>
        <w:t>ΕΠΙΤΡΟΠΗ</w:t>
      </w:r>
      <w:r w:rsidRPr="00637AC0">
        <w:rPr>
          <w:b/>
        </w:rPr>
        <w:t xml:space="preserve">                                         </w:t>
      </w:r>
      <w:r w:rsidRPr="00637AC0">
        <w:rPr>
          <w:b/>
          <w:u w:val="single"/>
        </w:rPr>
        <w:t>ΥΠΟΓΡΑΦΗ</w:t>
      </w:r>
      <w:r w:rsidRPr="00637AC0">
        <w:rPr>
          <w:b/>
        </w:rPr>
        <w:t xml:space="preserve">                                 </w:t>
      </w:r>
    </w:p>
    <w:p w14:paraId="3323D3E2" w14:textId="77777777" w:rsidR="0088539E" w:rsidRPr="00637AC0" w:rsidRDefault="0088539E" w:rsidP="0088539E">
      <w:pPr>
        <w:jc w:val="both"/>
        <w:rPr>
          <w:b/>
        </w:rPr>
      </w:pPr>
    </w:p>
    <w:p w14:paraId="008443AC" w14:textId="77777777" w:rsidR="0088539E" w:rsidRDefault="0088539E" w:rsidP="0088539E">
      <w:pPr>
        <w:jc w:val="both"/>
        <w:rPr>
          <w:b/>
        </w:rPr>
      </w:pPr>
      <w:r w:rsidRPr="00637AC0">
        <w:rPr>
          <w:b/>
        </w:rPr>
        <w:t xml:space="preserve">1. </w:t>
      </w:r>
    </w:p>
    <w:p w14:paraId="6D24C44B" w14:textId="77777777" w:rsidR="0088539E" w:rsidRDefault="0088539E" w:rsidP="0088539E">
      <w:pPr>
        <w:jc w:val="both"/>
        <w:rPr>
          <w:b/>
        </w:rPr>
      </w:pPr>
      <w:r>
        <w:rPr>
          <w:b/>
        </w:rPr>
        <w:t>2.</w:t>
      </w:r>
    </w:p>
    <w:p w14:paraId="368B74E6" w14:textId="77777777" w:rsidR="0088539E" w:rsidRDefault="0088539E" w:rsidP="0088539E">
      <w:pPr>
        <w:jc w:val="both"/>
        <w:rPr>
          <w:b/>
        </w:rPr>
      </w:pPr>
      <w:r>
        <w:rPr>
          <w:b/>
        </w:rPr>
        <w:t>3.</w:t>
      </w:r>
    </w:p>
    <w:p w14:paraId="1F10601E" w14:textId="77777777" w:rsidR="0088539E" w:rsidRPr="00637AC0" w:rsidRDefault="0088539E" w:rsidP="0088539E">
      <w:pPr>
        <w:jc w:val="both"/>
      </w:pPr>
      <w:r>
        <w:rPr>
          <w:b/>
        </w:rPr>
        <w:t>4.</w:t>
      </w:r>
    </w:p>
    <w:p w14:paraId="52441A17" w14:textId="77777777" w:rsidR="0088539E" w:rsidRPr="00637AC0" w:rsidRDefault="0088539E" w:rsidP="0088539E">
      <w:pPr>
        <w:jc w:val="both"/>
      </w:pPr>
    </w:p>
    <w:p w14:paraId="19A9D13B" w14:textId="77777777" w:rsidR="0088539E" w:rsidRDefault="0088539E" w:rsidP="0088539E">
      <w:pPr>
        <w:jc w:val="center"/>
      </w:pPr>
    </w:p>
    <w:p w14:paraId="22CC74FD" w14:textId="77777777" w:rsidR="0088539E" w:rsidRDefault="0088539E" w:rsidP="0088539E">
      <w:pPr>
        <w:jc w:val="center"/>
      </w:pPr>
    </w:p>
    <w:p w14:paraId="18B0DC5D" w14:textId="77777777" w:rsidR="0088539E" w:rsidRDefault="0088539E" w:rsidP="0088539E">
      <w:pPr>
        <w:jc w:val="center"/>
      </w:pPr>
    </w:p>
    <w:p w14:paraId="54029614" w14:textId="77777777" w:rsidR="0088539E" w:rsidRDefault="0088539E" w:rsidP="0088539E">
      <w:pPr>
        <w:jc w:val="center"/>
      </w:pPr>
    </w:p>
    <w:p w14:paraId="0244633F" w14:textId="77777777" w:rsidR="0088539E" w:rsidRDefault="0088539E" w:rsidP="0088539E">
      <w:pPr>
        <w:jc w:val="center"/>
        <w:rPr>
          <w:b/>
          <w:u w:val="single"/>
        </w:rPr>
      </w:pPr>
    </w:p>
    <w:p w14:paraId="14A02388" w14:textId="77777777" w:rsidR="0088539E" w:rsidRPr="0064664D" w:rsidRDefault="0088539E" w:rsidP="0088539E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 2</w:t>
      </w:r>
      <w:r w:rsidRPr="0064664D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Εισήγηση Επιτροπής Αξιολόγησης</w:t>
      </w:r>
    </w:p>
    <w:p w14:paraId="5E7FE25C" w14:textId="77777777" w:rsidR="0088539E" w:rsidRPr="00BF4ACF" w:rsidRDefault="0088539E" w:rsidP="0088539E">
      <w:pPr>
        <w:jc w:val="center"/>
        <w:rPr>
          <w:b/>
          <w:u w:val="single"/>
        </w:rPr>
      </w:pPr>
      <w:r w:rsidRPr="00BF4ACF">
        <w:rPr>
          <w:b/>
          <w:u w:val="single"/>
        </w:rPr>
        <w:t xml:space="preserve">ΠΜΣ Β΄ Κύκλος </w:t>
      </w:r>
      <w:proofErr w:type="spellStart"/>
      <w:r w:rsidRPr="00BF4ACF">
        <w:rPr>
          <w:b/>
          <w:u w:val="single"/>
        </w:rPr>
        <w:t>ακαδ</w:t>
      </w:r>
      <w:proofErr w:type="spellEnd"/>
      <w:r w:rsidRPr="00BF4ACF">
        <w:rPr>
          <w:b/>
          <w:u w:val="single"/>
        </w:rPr>
        <w:t>. έτος 201 -201</w:t>
      </w:r>
    </w:p>
    <w:p w14:paraId="6B1BDEFA" w14:textId="77777777" w:rsidR="0088539E" w:rsidRPr="00BF4ACF" w:rsidRDefault="0088539E" w:rsidP="0088539E">
      <w:pPr>
        <w:jc w:val="center"/>
        <w:rPr>
          <w:b/>
          <w:u w:val="single"/>
        </w:rPr>
      </w:pPr>
      <w:r w:rsidRPr="00BF4ACF">
        <w:rPr>
          <w:b/>
          <w:u w:val="single"/>
        </w:rPr>
        <w:t xml:space="preserve">Κριτήρια Επιλογής </w:t>
      </w:r>
      <w:proofErr w:type="spellStart"/>
      <w:r w:rsidRPr="00BF4ACF">
        <w:rPr>
          <w:b/>
          <w:u w:val="single"/>
        </w:rPr>
        <w:t>Υποψηφιών</w:t>
      </w:r>
      <w:proofErr w:type="spellEnd"/>
      <w:r w:rsidRPr="00BF4ACF">
        <w:rPr>
          <w:b/>
          <w:u w:val="single"/>
        </w:rPr>
        <w:t xml:space="preserve"> (βάσει δικαιολογητικών και το άρθρο 6.2 του Κανονισμού ΠΜΣ)</w:t>
      </w:r>
    </w:p>
    <w:p w14:paraId="27460AD1" w14:textId="77777777" w:rsidR="0088539E" w:rsidRPr="00BF4ACF" w:rsidRDefault="0088539E" w:rsidP="0088539E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08"/>
        <w:gridCol w:w="866"/>
        <w:gridCol w:w="791"/>
        <w:gridCol w:w="1422"/>
        <w:gridCol w:w="1117"/>
        <w:gridCol w:w="912"/>
        <w:gridCol w:w="1148"/>
      </w:tblGrid>
      <w:tr w:rsidR="0088539E" w:rsidRPr="00BF4ACF" w14:paraId="6F8A9644" w14:textId="77777777" w:rsidTr="005B3315">
        <w:tc>
          <w:tcPr>
            <w:tcW w:w="257" w:type="pct"/>
            <w:shd w:val="clear" w:color="auto" w:fill="auto"/>
          </w:tcPr>
          <w:p w14:paraId="4519C047" w14:textId="77777777" w:rsidR="0088539E" w:rsidRPr="00E4002A" w:rsidRDefault="0088539E" w:rsidP="005B3315">
            <w:pPr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Α/Α</w:t>
            </w:r>
          </w:p>
        </w:tc>
        <w:tc>
          <w:tcPr>
            <w:tcW w:w="766" w:type="pct"/>
            <w:shd w:val="clear" w:color="auto" w:fill="auto"/>
          </w:tcPr>
          <w:p w14:paraId="07F24128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431" w:type="pct"/>
            <w:shd w:val="clear" w:color="auto" w:fill="auto"/>
          </w:tcPr>
          <w:p w14:paraId="73BA5B71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  <w:lang w:val="en-US"/>
              </w:rPr>
              <w:t xml:space="preserve">M.O. </w:t>
            </w:r>
            <w:proofErr w:type="gramStart"/>
            <w:r w:rsidRPr="00E4002A">
              <w:rPr>
                <w:rFonts w:eastAsia="Calibri"/>
                <w:b/>
                <w:sz w:val="20"/>
                <w:szCs w:val="20"/>
              </w:rPr>
              <w:t>Πτυχίου  (</w:t>
            </w:r>
            <w:proofErr w:type="gramEnd"/>
            <w:r w:rsidRPr="00E4002A">
              <w:rPr>
                <w:rFonts w:eastAsia="Calibri"/>
                <w:b/>
                <w:sz w:val="20"/>
                <w:szCs w:val="20"/>
              </w:rPr>
              <w:t>10%)</w:t>
            </w:r>
          </w:p>
        </w:tc>
        <w:tc>
          <w:tcPr>
            <w:tcW w:w="485" w:type="pct"/>
            <w:shd w:val="clear" w:color="auto" w:fill="auto"/>
          </w:tcPr>
          <w:p w14:paraId="4F52FBEE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Μ.Ο. ΜΠΣ α΄ κύκλου (40%)</w:t>
            </w:r>
          </w:p>
        </w:tc>
        <w:tc>
          <w:tcPr>
            <w:tcW w:w="701" w:type="pct"/>
            <w:shd w:val="clear" w:color="auto" w:fill="auto"/>
          </w:tcPr>
          <w:p w14:paraId="3D97B94B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Ερευνητική –Συγγραφική δραστηριότητα</w:t>
            </w:r>
          </w:p>
          <w:p w14:paraId="00AC584D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(5%)</w:t>
            </w:r>
          </w:p>
        </w:tc>
        <w:tc>
          <w:tcPr>
            <w:tcW w:w="485" w:type="pct"/>
            <w:shd w:val="clear" w:color="auto" w:fill="auto"/>
          </w:tcPr>
          <w:p w14:paraId="6EC44495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Προφορική Συνέντευξη</w:t>
            </w:r>
          </w:p>
          <w:p w14:paraId="7A87F453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(25%)</w:t>
            </w:r>
          </w:p>
        </w:tc>
        <w:tc>
          <w:tcPr>
            <w:tcW w:w="1187" w:type="pct"/>
            <w:shd w:val="clear" w:color="auto" w:fill="auto"/>
          </w:tcPr>
          <w:p w14:paraId="4CB5049F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Ξένες Γλώσσες</w:t>
            </w:r>
          </w:p>
          <w:p w14:paraId="577F13F6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 xml:space="preserve">20% </w:t>
            </w:r>
          </w:p>
          <w:p w14:paraId="412DBA28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(Βάση 5)</w:t>
            </w:r>
          </w:p>
        </w:tc>
        <w:tc>
          <w:tcPr>
            <w:tcW w:w="688" w:type="pct"/>
            <w:shd w:val="clear" w:color="auto" w:fill="auto"/>
          </w:tcPr>
          <w:p w14:paraId="124B58B1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Τελικό αποτέλεσμα</w:t>
            </w:r>
          </w:p>
          <w:p w14:paraId="6F962EB4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Μ.Ο.</w:t>
            </w:r>
          </w:p>
        </w:tc>
      </w:tr>
      <w:tr w:rsidR="0088539E" w14:paraId="1DD8EBEE" w14:textId="77777777" w:rsidTr="005B3315">
        <w:tc>
          <w:tcPr>
            <w:tcW w:w="257" w:type="pct"/>
            <w:shd w:val="clear" w:color="auto" w:fill="auto"/>
          </w:tcPr>
          <w:p w14:paraId="32B397AE" w14:textId="77777777" w:rsidR="0088539E" w:rsidRPr="00E4002A" w:rsidRDefault="0088539E" w:rsidP="005B3315">
            <w:pPr>
              <w:rPr>
                <w:rFonts w:eastAsia="Calibri"/>
              </w:rPr>
            </w:pPr>
            <w:r w:rsidRPr="00E4002A">
              <w:rPr>
                <w:rFonts w:eastAsia="Calibri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14:paraId="2ECEB41F" w14:textId="77777777" w:rsidR="0088539E" w:rsidRPr="00E4002A" w:rsidRDefault="0088539E" w:rsidP="005B3315">
            <w:pPr>
              <w:rPr>
                <w:rFonts w:eastAsia="Calibri"/>
                <w:i/>
              </w:rPr>
            </w:pPr>
          </w:p>
        </w:tc>
        <w:tc>
          <w:tcPr>
            <w:tcW w:w="431" w:type="pct"/>
            <w:shd w:val="clear" w:color="auto" w:fill="auto"/>
          </w:tcPr>
          <w:p w14:paraId="4AE0CECB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14:paraId="2D6A312A" w14:textId="77777777" w:rsidR="0088539E" w:rsidRPr="00E4002A" w:rsidRDefault="0088539E" w:rsidP="005B3315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1" w:type="pct"/>
            <w:shd w:val="clear" w:color="auto" w:fill="auto"/>
          </w:tcPr>
          <w:p w14:paraId="5DECF5EB" w14:textId="77777777" w:rsidR="0088539E" w:rsidRPr="00E4002A" w:rsidRDefault="0088539E" w:rsidP="005B3315">
            <w:pPr>
              <w:ind w:left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14:paraId="66A31428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1187" w:type="pct"/>
            <w:shd w:val="clear" w:color="auto" w:fill="auto"/>
          </w:tcPr>
          <w:p w14:paraId="19492FEE" w14:textId="77777777" w:rsidR="0088539E" w:rsidRPr="00E4002A" w:rsidRDefault="0088539E" w:rsidP="005B3315">
            <w:pPr>
              <w:rPr>
                <w:rFonts w:eastAsia="Calibri"/>
                <w:lang w:val="en-US"/>
              </w:rPr>
            </w:pPr>
          </w:p>
        </w:tc>
        <w:tc>
          <w:tcPr>
            <w:tcW w:w="688" w:type="pct"/>
            <w:shd w:val="clear" w:color="auto" w:fill="auto"/>
          </w:tcPr>
          <w:p w14:paraId="27C0786E" w14:textId="77777777" w:rsidR="0088539E" w:rsidRPr="00E4002A" w:rsidRDefault="0088539E" w:rsidP="005B3315">
            <w:pPr>
              <w:rPr>
                <w:rFonts w:eastAsia="Calibri"/>
                <w:b/>
                <w:u w:val="single"/>
              </w:rPr>
            </w:pPr>
          </w:p>
        </w:tc>
      </w:tr>
      <w:tr w:rsidR="0088539E" w14:paraId="47A08217" w14:textId="77777777" w:rsidTr="005B3315">
        <w:tc>
          <w:tcPr>
            <w:tcW w:w="257" w:type="pct"/>
            <w:shd w:val="clear" w:color="auto" w:fill="auto"/>
          </w:tcPr>
          <w:p w14:paraId="25DFC661" w14:textId="77777777" w:rsidR="0088539E" w:rsidRPr="00E4002A" w:rsidRDefault="0088539E" w:rsidP="005B3315">
            <w:pPr>
              <w:rPr>
                <w:rFonts w:eastAsia="Calibri"/>
              </w:rPr>
            </w:pPr>
            <w:r w:rsidRPr="00E4002A">
              <w:rPr>
                <w:rFonts w:eastAsia="Calibri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14:paraId="14CA4491" w14:textId="77777777" w:rsidR="0088539E" w:rsidRPr="00E4002A" w:rsidRDefault="0088539E" w:rsidP="005B3315">
            <w:pPr>
              <w:rPr>
                <w:rFonts w:eastAsia="Calibri"/>
                <w:i/>
              </w:rPr>
            </w:pPr>
          </w:p>
        </w:tc>
        <w:tc>
          <w:tcPr>
            <w:tcW w:w="431" w:type="pct"/>
            <w:shd w:val="clear" w:color="auto" w:fill="auto"/>
          </w:tcPr>
          <w:p w14:paraId="2EB53389" w14:textId="77777777" w:rsidR="0088539E" w:rsidRPr="00E4002A" w:rsidRDefault="0088539E" w:rsidP="005B3315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14:paraId="7886E5D5" w14:textId="77777777" w:rsidR="0088539E" w:rsidRPr="00E4002A" w:rsidRDefault="0088539E" w:rsidP="005B3315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1" w:type="pct"/>
            <w:shd w:val="clear" w:color="auto" w:fill="auto"/>
          </w:tcPr>
          <w:p w14:paraId="6A2C1F20" w14:textId="77777777" w:rsidR="0088539E" w:rsidRPr="00E4002A" w:rsidRDefault="0088539E" w:rsidP="005B3315">
            <w:pPr>
              <w:ind w:left="34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14:paraId="39B30D7B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1187" w:type="pct"/>
            <w:shd w:val="clear" w:color="auto" w:fill="auto"/>
          </w:tcPr>
          <w:p w14:paraId="2518EF04" w14:textId="77777777" w:rsidR="0088539E" w:rsidRPr="00E4002A" w:rsidRDefault="0088539E" w:rsidP="005B3315">
            <w:pPr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688" w:type="pct"/>
            <w:shd w:val="clear" w:color="auto" w:fill="auto"/>
          </w:tcPr>
          <w:p w14:paraId="4896434B" w14:textId="77777777" w:rsidR="0088539E" w:rsidRPr="00E4002A" w:rsidRDefault="0088539E" w:rsidP="005B3315">
            <w:pPr>
              <w:rPr>
                <w:rFonts w:eastAsia="Calibri"/>
                <w:b/>
                <w:u w:val="single"/>
              </w:rPr>
            </w:pPr>
          </w:p>
        </w:tc>
      </w:tr>
      <w:tr w:rsidR="0088539E" w14:paraId="03CDB88F" w14:textId="77777777" w:rsidTr="005B3315">
        <w:tc>
          <w:tcPr>
            <w:tcW w:w="257" w:type="pct"/>
            <w:shd w:val="clear" w:color="auto" w:fill="auto"/>
          </w:tcPr>
          <w:p w14:paraId="73AB9122" w14:textId="77777777" w:rsidR="0088539E" w:rsidRPr="00E4002A" w:rsidRDefault="0088539E" w:rsidP="005B3315">
            <w:pPr>
              <w:rPr>
                <w:rFonts w:eastAsia="Calibri"/>
              </w:rPr>
            </w:pPr>
            <w:r w:rsidRPr="00E4002A">
              <w:rPr>
                <w:rFonts w:eastAsia="Calibri"/>
              </w:rPr>
              <w:t>3</w:t>
            </w:r>
          </w:p>
        </w:tc>
        <w:tc>
          <w:tcPr>
            <w:tcW w:w="766" w:type="pct"/>
            <w:shd w:val="clear" w:color="auto" w:fill="auto"/>
          </w:tcPr>
          <w:p w14:paraId="17EBAAF5" w14:textId="77777777" w:rsidR="0088539E" w:rsidRPr="00E4002A" w:rsidRDefault="0088539E" w:rsidP="005B3315">
            <w:pPr>
              <w:rPr>
                <w:rFonts w:eastAsia="Calibri"/>
                <w:i/>
              </w:rPr>
            </w:pPr>
          </w:p>
        </w:tc>
        <w:tc>
          <w:tcPr>
            <w:tcW w:w="431" w:type="pct"/>
            <w:shd w:val="clear" w:color="auto" w:fill="auto"/>
          </w:tcPr>
          <w:p w14:paraId="470A382B" w14:textId="77777777" w:rsidR="0088539E" w:rsidRPr="00E4002A" w:rsidRDefault="0088539E" w:rsidP="005B3315">
            <w:pPr>
              <w:jc w:val="center"/>
              <w:rPr>
                <w:rFonts w:eastAsia="Calibri"/>
              </w:rPr>
            </w:pPr>
          </w:p>
        </w:tc>
        <w:tc>
          <w:tcPr>
            <w:tcW w:w="485" w:type="pct"/>
            <w:shd w:val="clear" w:color="auto" w:fill="auto"/>
          </w:tcPr>
          <w:p w14:paraId="6E19A82E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u w:val="single"/>
              </w:rPr>
            </w:pPr>
          </w:p>
        </w:tc>
        <w:tc>
          <w:tcPr>
            <w:tcW w:w="701" w:type="pct"/>
            <w:shd w:val="clear" w:color="auto" w:fill="auto"/>
          </w:tcPr>
          <w:p w14:paraId="6955CF64" w14:textId="77777777" w:rsidR="0088539E" w:rsidRPr="00E4002A" w:rsidRDefault="0088539E" w:rsidP="005B3315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14:paraId="1C0211B6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1187" w:type="pct"/>
            <w:shd w:val="clear" w:color="auto" w:fill="auto"/>
          </w:tcPr>
          <w:p w14:paraId="166E398D" w14:textId="77777777" w:rsidR="0088539E" w:rsidRPr="00E4002A" w:rsidRDefault="0088539E" w:rsidP="005B3315">
            <w:pPr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688" w:type="pct"/>
            <w:shd w:val="clear" w:color="auto" w:fill="auto"/>
          </w:tcPr>
          <w:p w14:paraId="1DA2A62C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u w:val="single"/>
              </w:rPr>
            </w:pPr>
          </w:p>
        </w:tc>
      </w:tr>
      <w:tr w:rsidR="0088539E" w14:paraId="363A98E1" w14:textId="77777777" w:rsidTr="005B3315">
        <w:tc>
          <w:tcPr>
            <w:tcW w:w="257" w:type="pct"/>
            <w:shd w:val="clear" w:color="auto" w:fill="auto"/>
          </w:tcPr>
          <w:p w14:paraId="062DFFDF" w14:textId="77777777" w:rsidR="0088539E" w:rsidRPr="00E4002A" w:rsidRDefault="0088539E" w:rsidP="005B3315">
            <w:pPr>
              <w:rPr>
                <w:rFonts w:eastAsia="Calibri"/>
              </w:rPr>
            </w:pPr>
            <w:r w:rsidRPr="00E4002A">
              <w:rPr>
                <w:rFonts w:eastAsia="Calibri"/>
              </w:rPr>
              <w:t>4</w:t>
            </w:r>
          </w:p>
        </w:tc>
        <w:tc>
          <w:tcPr>
            <w:tcW w:w="766" w:type="pct"/>
            <w:shd w:val="clear" w:color="auto" w:fill="auto"/>
          </w:tcPr>
          <w:p w14:paraId="2DBDD126" w14:textId="77777777" w:rsidR="0088539E" w:rsidRPr="00E4002A" w:rsidRDefault="0088539E" w:rsidP="005B3315">
            <w:pPr>
              <w:rPr>
                <w:rFonts w:eastAsia="Calibri"/>
                <w:i/>
              </w:rPr>
            </w:pPr>
          </w:p>
        </w:tc>
        <w:tc>
          <w:tcPr>
            <w:tcW w:w="431" w:type="pct"/>
            <w:shd w:val="clear" w:color="auto" w:fill="auto"/>
          </w:tcPr>
          <w:p w14:paraId="660D6F0D" w14:textId="77777777" w:rsidR="0088539E" w:rsidRPr="00E4002A" w:rsidRDefault="0088539E" w:rsidP="005B3315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14:paraId="2C6A342B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u w:val="single"/>
              </w:rPr>
            </w:pPr>
          </w:p>
        </w:tc>
        <w:tc>
          <w:tcPr>
            <w:tcW w:w="701" w:type="pct"/>
            <w:shd w:val="clear" w:color="auto" w:fill="auto"/>
          </w:tcPr>
          <w:p w14:paraId="0160256D" w14:textId="77777777" w:rsidR="0088539E" w:rsidRPr="00E4002A" w:rsidRDefault="0088539E" w:rsidP="005B3315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14:paraId="608864DE" w14:textId="77777777" w:rsidR="0088539E" w:rsidRPr="00E4002A" w:rsidRDefault="0088539E" w:rsidP="005B3315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87" w:type="pct"/>
            <w:shd w:val="clear" w:color="auto" w:fill="auto"/>
          </w:tcPr>
          <w:p w14:paraId="6B92812C" w14:textId="77777777" w:rsidR="0088539E" w:rsidRPr="00E4002A" w:rsidRDefault="0088539E" w:rsidP="005B3315">
            <w:pPr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688" w:type="pct"/>
            <w:shd w:val="clear" w:color="auto" w:fill="auto"/>
          </w:tcPr>
          <w:p w14:paraId="6E726932" w14:textId="77777777" w:rsidR="0088539E" w:rsidRPr="00E4002A" w:rsidRDefault="0088539E" w:rsidP="005B3315">
            <w:pPr>
              <w:jc w:val="center"/>
              <w:rPr>
                <w:rFonts w:eastAsia="Calibri"/>
                <w:b/>
                <w:u w:val="single"/>
              </w:rPr>
            </w:pPr>
          </w:p>
        </w:tc>
      </w:tr>
    </w:tbl>
    <w:p w14:paraId="0107B101" w14:textId="77777777" w:rsidR="0088539E" w:rsidRDefault="0088539E" w:rsidP="0088539E">
      <w:pPr>
        <w:rPr>
          <w:b/>
          <w:u w:val="single"/>
        </w:rPr>
      </w:pPr>
    </w:p>
    <w:p w14:paraId="1F1E2EDC" w14:textId="77777777" w:rsidR="0088539E" w:rsidRDefault="0088539E" w:rsidP="0088539E">
      <w:pPr>
        <w:rPr>
          <w:b/>
          <w:u w:val="single"/>
        </w:rPr>
      </w:pPr>
    </w:p>
    <w:p w14:paraId="63F869F0" w14:textId="77777777" w:rsidR="0088539E" w:rsidRPr="00A60462" w:rsidRDefault="0088539E" w:rsidP="0088539E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 2</w:t>
      </w:r>
      <w:r w:rsidRPr="0064664D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Εισήγηση Επιτροπής Αξιολόγησης</w:t>
      </w:r>
    </w:p>
    <w:p w14:paraId="4C05147C" w14:textId="77777777" w:rsidR="0088539E" w:rsidRDefault="0088539E" w:rsidP="0088539E">
      <w:pPr>
        <w:jc w:val="center"/>
        <w:rPr>
          <w:b/>
          <w:u w:val="single"/>
        </w:rPr>
      </w:pPr>
    </w:p>
    <w:p w14:paraId="21F4395D" w14:textId="77777777" w:rsidR="00496923" w:rsidRDefault="00496923"/>
    <w:sectPr w:rsidR="004969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23"/>
    <w:rsid w:val="00496923"/>
    <w:rsid w:val="0088539E"/>
    <w:rsid w:val="00B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97FC"/>
  <w15:chartTrackingRefBased/>
  <w15:docId w15:val="{ED4519E4-F433-40E0-B78E-8DCE17CD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Παπαβασιλείου</dc:creator>
  <cp:keywords/>
  <dc:description/>
  <cp:lastModifiedBy>Μαρία Παπαβασιλείου</cp:lastModifiedBy>
  <cp:revision>3</cp:revision>
  <dcterms:created xsi:type="dcterms:W3CDTF">2020-07-09T06:59:00Z</dcterms:created>
  <dcterms:modified xsi:type="dcterms:W3CDTF">2020-07-09T06:59:00Z</dcterms:modified>
</cp:coreProperties>
</file>