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9007" w14:textId="77777777" w:rsidR="00473766" w:rsidRPr="00F755B5" w:rsidRDefault="00473766" w:rsidP="0085682D">
      <w:pPr>
        <w:jc w:val="both"/>
        <w:rPr>
          <w:b/>
        </w:rPr>
      </w:pPr>
    </w:p>
    <w:p w14:paraId="11B725C0" w14:textId="77777777" w:rsidR="00473766" w:rsidRPr="009B5C0E" w:rsidRDefault="003670B4" w:rsidP="003670B4">
      <w:pPr>
        <w:jc w:val="both"/>
        <w:rPr>
          <w:b/>
          <w:lang w:val="en-GB"/>
        </w:rPr>
      </w:pPr>
      <w:proofErr w:type="spellStart"/>
      <w:r w:rsidRPr="009B5C0E">
        <w:rPr>
          <w:b/>
          <w:smallCaps/>
          <w:sz w:val="28"/>
          <w:szCs w:val="28"/>
          <w:lang w:val="en-GB"/>
        </w:rPr>
        <w:t>pasquale</w:t>
      </w:r>
      <w:proofErr w:type="spellEnd"/>
      <w:r w:rsidRPr="009B5C0E">
        <w:rPr>
          <w:b/>
          <w:smallCaps/>
          <w:sz w:val="28"/>
          <w:szCs w:val="28"/>
          <w:lang w:val="en-GB"/>
        </w:rPr>
        <w:t xml:space="preserve"> </w:t>
      </w:r>
      <w:proofErr w:type="spellStart"/>
      <w:r w:rsidRPr="009B5C0E">
        <w:rPr>
          <w:b/>
          <w:smallCaps/>
          <w:sz w:val="28"/>
          <w:szCs w:val="28"/>
          <w:lang w:val="en-GB"/>
        </w:rPr>
        <w:t>massimo</w:t>
      </w:r>
      <w:proofErr w:type="spellEnd"/>
      <w:r w:rsidRPr="009B5C0E">
        <w:rPr>
          <w:b/>
          <w:smallCaps/>
          <w:sz w:val="28"/>
          <w:szCs w:val="28"/>
          <w:lang w:val="en-GB"/>
        </w:rPr>
        <w:t xml:space="preserve"> pinto - cv </w:t>
      </w:r>
    </w:p>
    <w:p w14:paraId="3A2FFBFC" w14:textId="77777777" w:rsidR="003670B4" w:rsidRPr="009B5C0E" w:rsidRDefault="003670B4" w:rsidP="003670B4">
      <w:pPr>
        <w:jc w:val="both"/>
        <w:rPr>
          <w:lang w:val="en-GB"/>
        </w:rPr>
      </w:pPr>
    </w:p>
    <w:p w14:paraId="5DE2C617" w14:textId="77777777" w:rsidR="003670B4" w:rsidRPr="00CE6331" w:rsidRDefault="003670B4" w:rsidP="003670B4">
      <w:pPr>
        <w:spacing w:line="141" w:lineRule="atLeast"/>
        <w:jc w:val="both"/>
        <w:rPr>
          <w:color w:val="000000"/>
          <w:lang w:val="en-GB"/>
        </w:rPr>
      </w:pPr>
      <w:r w:rsidRPr="00CE6331">
        <w:rPr>
          <w:color w:val="000000"/>
          <w:lang w:val="en-GB"/>
        </w:rPr>
        <w:t xml:space="preserve">Pasquale Massimo Pinto is Full Professor of Classical Philology at the Aldo Moro University of Bari, Dept. of </w:t>
      </w:r>
      <w:r w:rsidR="000C4F9E">
        <w:rPr>
          <w:color w:val="000000"/>
          <w:lang w:val="en-GB"/>
        </w:rPr>
        <w:t>Research and Innovation for the Humanities (</w:t>
      </w:r>
      <w:proofErr w:type="spellStart"/>
      <w:r w:rsidR="000C4F9E">
        <w:rPr>
          <w:color w:val="000000"/>
          <w:lang w:val="en-GB"/>
        </w:rPr>
        <w:t>Dipartimento</w:t>
      </w:r>
      <w:proofErr w:type="spellEnd"/>
      <w:r w:rsidR="000C4F9E">
        <w:rPr>
          <w:color w:val="000000"/>
          <w:lang w:val="en-GB"/>
        </w:rPr>
        <w:t xml:space="preserve"> di </w:t>
      </w:r>
      <w:proofErr w:type="spellStart"/>
      <w:r w:rsidR="000C4F9E">
        <w:rPr>
          <w:color w:val="000000"/>
          <w:lang w:val="en-GB"/>
        </w:rPr>
        <w:t>Ricerca</w:t>
      </w:r>
      <w:proofErr w:type="spellEnd"/>
      <w:r w:rsidR="000C4F9E">
        <w:rPr>
          <w:color w:val="000000"/>
          <w:lang w:val="en-GB"/>
        </w:rPr>
        <w:t xml:space="preserve"> e </w:t>
      </w:r>
      <w:proofErr w:type="spellStart"/>
      <w:r w:rsidR="000C4F9E">
        <w:rPr>
          <w:color w:val="000000"/>
          <w:lang w:val="en-GB"/>
        </w:rPr>
        <w:t>Innovazione</w:t>
      </w:r>
      <w:proofErr w:type="spellEnd"/>
      <w:r w:rsidR="000C4F9E">
        <w:rPr>
          <w:color w:val="000000"/>
          <w:lang w:val="en-GB"/>
        </w:rPr>
        <w:t xml:space="preserve"> </w:t>
      </w:r>
      <w:proofErr w:type="spellStart"/>
      <w:r w:rsidR="000C4F9E">
        <w:rPr>
          <w:color w:val="000000"/>
          <w:lang w:val="en-GB"/>
        </w:rPr>
        <w:t>Umanistica</w:t>
      </w:r>
      <w:proofErr w:type="spellEnd"/>
      <w:r w:rsidR="000C4F9E">
        <w:rPr>
          <w:color w:val="000000"/>
          <w:lang w:val="en-GB"/>
        </w:rPr>
        <w:t>), where h</w:t>
      </w:r>
      <w:r w:rsidRPr="00CE6331">
        <w:rPr>
          <w:color w:val="000000"/>
          <w:lang w:val="en-GB"/>
        </w:rPr>
        <w:t>e teaches Greek and Latin Philology (MA degree), Classics in Byzantium (MA degree) and History of Classical Scholarship and Classical Tradition (BA degree).</w:t>
      </w:r>
    </w:p>
    <w:p w14:paraId="5FD64E80" w14:textId="77777777" w:rsidR="003670B4" w:rsidRDefault="003670B4" w:rsidP="003670B4">
      <w:pPr>
        <w:spacing w:line="141" w:lineRule="atLeast"/>
        <w:jc w:val="both"/>
        <w:rPr>
          <w:color w:val="000000"/>
          <w:lang w:val="en-GB"/>
        </w:rPr>
      </w:pPr>
    </w:p>
    <w:p w14:paraId="3B8E5ECA" w14:textId="77777777" w:rsidR="000C4F9E" w:rsidRPr="000C4F9E" w:rsidRDefault="000C4F9E" w:rsidP="000C4F9E">
      <w:pPr>
        <w:spacing w:line="141" w:lineRule="atLeast"/>
        <w:jc w:val="both"/>
        <w:rPr>
          <w:color w:val="000000"/>
          <w:u w:val="single"/>
          <w:lang w:val="en-GB"/>
        </w:rPr>
      </w:pPr>
      <w:r w:rsidRPr="000C4F9E">
        <w:rPr>
          <w:color w:val="000000"/>
          <w:u w:val="single"/>
          <w:lang w:val="en-GB"/>
        </w:rPr>
        <w:t xml:space="preserve">Education </w:t>
      </w:r>
    </w:p>
    <w:p w14:paraId="5FD74080" w14:textId="77777777" w:rsidR="000C4F9E" w:rsidRPr="00CE6331" w:rsidRDefault="000C4F9E" w:rsidP="000C4F9E">
      <w:pPr>
        <w:spacing w:line="141" w:lineRule="atLeast"/>
        <w:jc w:val="both"/>
        <w:rPr>
          <w:color w:val="000000"/>
          <w:lang w:val="en-GB"/>
        </w:rPr>
      </w:pPr>
      <w:r w:rsidRPr="00CE6331">
        <w:rPr>
          <w:color w:val="000000"/>
          <w:lang w:val="en-GB"/>
        </w:rPr>
        <w:t xml:space="preserve">1993: </w:t>
      </w:r>
      <w:r w:rsidR="00941D12">
        <w:rPr>
          <w:color w:val="000000"/>
          <w:lang w:val="en-GB"/>
        </w:rPr>
        <w:t xml:space="preserve">MA </w:t>
      </w:r>
      <w:r w:rsidRPr="00CE6331">
        <w:rPr>
          <w:color w:val="000000"/>
          <w:lang w:val="en-GB"/>
        </w:rPr>
        <w:t xml:space="preserve">Degree in </w:t>
      </w:r>
      <w:r w:rsidR="00941D12">
        <w:rPr>
          <w:color w:val="000000"/>
          <w:lang w:val="en-GB"/>
        </w:rPr>
        <w:t>Classics</w:t>
      </w:r>
      <w:r w:rsidRPr="00CE6331">
        <w:rPr>
          <w:color w:val="000000"/>
          <w:lang w:val="en-GB"/>
        </w:rPr>
        <w:t>, University of Bari.</w:t>
      </w:r>
    </w:p>
    <w:p w14:paraId="5FD25586" w14:textId="77777777" w:rsidR="000C4F9E" w:rsidRPr="000C4F9E" w:rsidRDefault="000C4F9E" w:rsidP="000C4F9E">
      <w:pPr>
        <w:spacing w:line="141" w:lineRule="atLeast"/>
        <w:jc w:val="both"/>
        <w:rPr>
          <w:color w:val="000000"/>
          <w:lang w:val="en-GB"/>
        </w:rPr>
      </w:pPr>
      <w:r w:rsidRPr="000C4F9E">
        <w:rPr>
          <w:color w:val="000000"/>
          <w:lang w:val="en-GB"/>
        </w:rPr>
        <w:t>1998: PhD in Greek and Latin Philology, University of Bari.</w:t>
      </w:r>
    </w:p>
    <w:p w14:paraId="2327EC85" w14:textId="77777777" w:rsidR="000C4F9E" w:rsidRPr="00CE6331" w:rsidRDefault="000C4F9E" w:rsidP="000C4F9E">
      <w:pPr>
        <w:spacing w:line="141" w:lineRule="atLeast"/>
        <w:jc w:val="both"/>
        <w:rPr>
          <w:color w:val="000000"/>
          <w:lang w:val="en-GB"/>
        </w:rPr>
      </w:pPr>
      <w:r w:rsidRPr="00CE6331">
        <w:rPr>
          <w:color w:val="000000"/>
          <w:lang w:val="en-GB"/>
        </w:rPr>
        <w:t>1999-2000: Specialization ye</w:t>
      </w:r>
      <w:r>
        <w:rPr>
          <w:color w:val="000000"/>
          <w:lang w:val="en-GB"/>
        </w:rPr>
        <w:t>ar at the University of Oxford.</w:t>
      </w:r>
    </w:p>
    <w:p w14:paraId="4DA960F0" w14:textId="77777777" w:rsidR="000C4F9E" w:rsidRPr="00CE6331" w:rsidRDefault="000C4F9E" w:rsidP="003670B4">
      <w:pPr>
        <w:spacing w:line="141" w:lineRule="atLeast"/>
        <w:jc w:val="both"/>
        <w:rPr>
          <w:color w:val="000000"/>
          <w:lang w:val="en-GB"/>
        </w:rPr>
      </w:pPr>
    </w:p>
    <w:p w14:paraId="75F8C0FC" w14:textId="77777777" w:rsidR="003670B4" w:rsidRPr="00CE6331" w:rsidRDefault="000C4F9E" w:rsidP="003670B4">
      <w:pPr>
        <w:spacing w:line="141" w:lineRule="atLeast"/>
        <w:jc w:val="both"/>
        <w:rPr>
          <w:color w:val="000000"/>
          <w:lang w:val="en-GB"/>
        </w:rPr>
      </w:pPr>
      <w:r w:rsidRPr="000C4F9E">
        <w:rPr>
          <w:color w:val="000000"/>
          <w:u w:val="single"/>
          <w:lang w:val="en-GB"/>
        </w:rPr>
        <w:t>Fellowships</w:t>
      </w:r>
    </w:p>
    <w:p w14:paraId="63106FAB" w14:textId="77777777" w:rsidR="003670B4" w:rsidRPr="00CE6331" w:rsidRDefault="003670B4" w:rsidP="003670B4">
      <w:pPr>
        <w:spacing w:line="141" w:lineRule="atLeast"/>
        <w:jc w:val="both"/>
        <w:rPr>
          <w:color w:val="000000"/>
          <w:lang w:val="en-GB"/>
        </w:rPr>
      </w:pPr>
      <w:r w:rsidRPr="00CE6331">
        <w:rPr>
          <w:color w:val="000000"/>
          <w:lang w:val="en-GB"/>
        </w:rPr>
        <w:t>Among his past and present research roles and scientific assignments:</w:t>
      </w:r>
    </w:p>
    <w:p w14:paraId="0898D129" w14:textId="77777777" w:rsidR="000C4F9E" w:rsidRPr="00CE6331" w:rsidRDefault="000C4F9E" w:rsidP="000C4F9E">
      <w:pPr>
        <w:spacing w:line="130" w:lineRule="atLeast"/>
        <w:jc w:val="both"/>
        <w:rPr>
          <w:color w:val="000000"/>
          <w:lang w:val="en-GB"/>
        </w:rPr>
      </w:pPr>
      <w:r w:rsidRPr="00CE6331">
        <w:rPr>
          <w:color w:val="000000"/>
          <w:lang w:val="en-GB"/>
        </w:rPr>
        <w:t xml:space="preserve">- </w:t>
      </w:r>
      <w:proofErr w:type="spellStart"/>
      <w:r w:rsidRPr="00CE6331">
        <w:rPr>
          <w:color w:val="000000"/>
          <w:lang w:val="en-GB"/>
        </w:rPr>
        <w:t>Cotsen</w:t>
      </w:r>
      <w:proofErr w:type="spellEnd"/>
      <w:r w:rsidRPr="00CE6331">
        <w:rPr>
          <w:color w:val="000000"/>
          <w:lang w:val="en-GB"/>
        </w:rPr>
        <w:t xml:space="preserve"> Traveling Fellow, American School of Classical Studies, Athens, Sept.-Nov. 2010</w:t>
      </w:r>
    </w:p>
    <w:p w14:paraId="699CC3CB" w14:textId="77777777" w:rsidR="003670B4" w:rsidRPr="00CE6331" w:rsidRDefault="003670B4" w:rsidP="003670B4">
      <w:pPr>
        <w:spacing w:line="130" w:lineRule="atLeast"/>
        <w:jc w:val="both"/>
        <w:rPr>
          <w:color w:val="000000"/>
          <w:lang w:val="en-GB"/>
        </w:rPr>
      </w:pPr>
      <w:r>
        <w:rPr>
          <w:color w:val="000000"/>
          <w:lang w:val="en-GB"/>
        </w:rPr>
        <w:t xml:space="preserve">- </w:t>
      </w:r>
      <w:r w:rsidRPr="00CE6331">
        <w:rPr>
          <w:color w:val="000000"/>
          <w:lang w:val="en-GB"/>
        </w:rPr>
        <w:t xml:space="preserve">Visiting Researcher at the Beinecke Rare Book and Manuscript Library, Yale University (Toshiyuki </w:t>
      </w:r>
      <w:proofErr w:type="spellStart"/>
      <w:r w:rsidRPr="00CE6331">
        <w:rPr>
          <w:color w:val="000000"/>
          <w:lang w:val="en-GB"/>
        </w:rPr>
        <w:t>Takamiy</w:t>
      </w:r>
      <w:r w:rsidR="000C4F9E">
        <w:rPr>
          <w:color w:val="000000"/>
          <w:lang w:val="en-GB"/>
        </w:rPr>
        <w:t>a</w:t>
      </w:r>
      <w:proofErr w:type="spellEnd"/>
      <w:r w:rsidR="000C4F9E">
        <w:rPr>
          <w:color w:val="000000"/>
          <w:lang w:val="en-GB"/>
        </w:rPr>
        <w:t xml:space="preserve"> Fellowship, Nov. – Dec. 2019)</w:t>
      </w:r>
    </w:p>
    <w:p w14:paraId="3E1041E6" w14:textId="77777777" w:rsidR="000C4F9E" w:rsidRDefault="000C4F9E" w:rsidP="003670B4">
      <w:pPr>
        <w:spacing w:line="141" w:lineRule="atLeast"/>
        <w:jc w:val="both"/>
        <w:rPr>
          <w:color w:val="000000"/>
          <w:lang w:val="en-GB"/>
        </w:rPr>
      </w:pPr>
    </w:p>
    <w:p w14:paraId="10BCF7C3" w14:textId="77777777" w:rsidR="000C4F9E" w:rsidRDefault="000C4F9E" w:rsidP="003670B4">
      <w:pPr>
        <w:spacing w:line="141" w:lineRule="atLeast"/>
        <w:jc w:val="both"/>
        <w:rPr>
          <w:color w:val="000000"/>
          <w:lang w:val="en-GB"/>
        </w:rPr>
      </w:pPr>
      <w:r w:rsidRPr="005679DA">
        <w:rPr>
          <w:color w:val="000000"/>
          <w:u w:val="single"/>
          <w:lang w:val="en-GB"/>
        </w:rPr>
        <w:t>Projects</w:t>
      </w:r>
    </w:p>
    <w:p w14:paraId="3C79BA33" w14:textId="77777777" w:rsidR="000C4F9E" w:rsidRPr="00CE6331" w:rsidRDefault="000C4F9E" w:rsidP="00941D12">
      <w:pPr>
        <w:spacing w:line="130" w:lineRule="atLeast"/>
        <w:jc w:val="both"/>
        <w:rPr>
          <w:color w:val="000000"/>
        </w:rPr>
      </w:pPr>
      <w:r w:rsidRPr="00CE6331">
        <w:rPr>
          <w:color w:val="000000"/>
          <w:lang w:val="en-GB"/>
        </w:rPr>
        <w:t>- He has direc</w:t>
      </w:r>
      <w:r>
        <w:rPr>
          <w:color w:val="000000"/>
          <w:lang w:val="en-GB"/>
        </w:rPr>
        <w:t>ted the local research project ‘</w:t>
      </w:r>
      <w:r w:rsidRPr="00CE6331">
        <w:rPr>
          <w:color w:val="000000"/>
          <w:lang w:val="en-GB"/>
        </w:rPr>
        <w:t xml:space="preserve">La </w:t>
      </w:r>
      <w:proofErr w:type="spellStart"/>
      <w:r w:rsidRPr="00CE6331">
        <w:rPr>
          <w:color w:val="000000"/>
          <w:lang w:val="en-GB"/>
        </w:rPr>
        <w:t>parola</w:t>
      </w:r>
      <w:proofErr w:type="spellEnd"/>
      <w:r w:rsidRPr="00CE6331">
        <w:rPr>
          <w:color w:val="000000"/>
          <w:lang w:val="en-GB"/>
        </w:rPr>
        <w:t xml:space="preserve"> </w:t>
      </w:r>
      <w:proofErr w:type="spellStart"/>
      <w:r w:rsidRPr="00CE6331">
        <w:rPr>
          <w:color w:val="000000"/>
          <w:lang w:val="en-GB"/>
        </w:rPr>
        <w:t>politica</w:t>
      </w:r>
      <w:proofErr w:type="spellEnd"/>
      <w:r w:rsidRPr="00CE6331">
        <w:rPr>
          <w:color w:val="000000"/>
          <w:lang w:val="en-GB"/>
        </w:rPr>
        <w:t xml:space="preserve"> </w:t>
      </w:r>
      <w:proofErr w:type="spellStart"/>
      <w:r w:rsidRPr="00CE6331">
        <w:rPr>
          <w:color w:val="000000"/>
          <w:lang w:val="en-GB"/>
        </w:rPr>
        <w:t>degli</w:t>
      </w:r>
      <w:proofErr w:type="spellEnd"/>
      <w:r w:rsidRPr="00CE6331">
        <w:rPr>
          <w:color w:val="000000"/>
          <w:lang w:val="en-GB"/>
        </w:rPr>
        <w:t xml:space="preserve"> </w:t>
      </w:r>
      <w:proofErr w:type="spellStart"/>
      <w:r w:rsidRPr="00CE6331">
        <w:rPr>
          <w:color w:val="000000"/>
          <w:lang w:val="en-GB"/>
        </w:rPr>
        <w:t>antichi</w:t>
      </w:r>
      <w:proofErr w:type="spellEnd"/>
      <w:r w:rsidRPr="00CE6331">
        <w:rPr>
          <w:color w:val="000000"/>
          <w:lang w:val="en-GB"/>
        </w:rPr>
        <w:t>. </w:t>
      </w:r>
      <w:r>
        <w:rPr>
          <w:color w:val="000000"/>
        </w:rPr>
        <w:t>Testi, tradizioni, ricezione’ (‘</w:t>
      </w:r>
      <w:r w:rsidRPr="00CE6331">
        <w:rPr>
          <w:color w:val="000000"/>
        </w:rPr>
        <w:t>Progetto Idea - Giovani Ricercatori</w:t>
      </w:r>
      <w:r>
        <w:rPr>
          <w:color w:val="000000"/>
        </w:rPr>
        <w:t>’</w:t>
      </w:r>
      <w:r w:rsidRPr="00CE6331">
        <w:rPr>
          <w:color w:val="000000"/>
        </w:rPr>
        <w:t>, University of Bari)</w:t>
      </w:r>
      <w:r w:rsidR="00941D12">
        <w:rPr>
          <w:color w:val="000000"/>
        </w:rPr>
        <w:t xml:space="preserve"> and </w:t>
      </w:r>
      <w:r w:rsidRPr="00CE6331">
        <w:rPr>
          <w:color w:val="000000"/>
        </w:rPr>
        <w:t>a project funded</w:t>
      </w:r>
      <w:r>
        <w:rPr>
          <w:color w:val="000000"/>
        </w:rPr>
        <w:t xml:space="preserve"> by the Fondazione Caripuglia (‘</w:t>
      </w:r>
      <w:r w:rsidRPr="00CE6331">
        <w:rPr>
          <w:color w:val="000000"/>
        </w:rPr>
        <w:t>Gli studi classici in Terr</w:t>
      </w:r>
      <w:r>
        <w:rPr>
          <w:color w:val="000000"/>
        </w:rPr>
        <w:t>a di Bari tra Sette e Ottocento’</w:t>
      </w:r>
      <w:r w:rsidRPr="00CE6331">
        <w:rPr>
          <w:color w:val="000000"/>
        </w:rPr>
        <w:t>)</w:t>
      </w:r>
    </w:p>
    <w:p w14:paraId="24E8FF82" w14:textId="77777777" w:rsidR="000C4F9E" w:rsidRPr="000C4F9E" w:rsidRDefault="000C4F9E" w:rsidP="003670B4">
      <w:pPr>
        <w:spacing w:line="141" w:lineRule="atLeast"/>
        <w:jc w:val="both"/>
        <w:rPr>
          <w:color w:val="000000"/>
        </w:rPr>
      </w:pPr>
    </w:p>
    <w:p w14:paraId="199EF4EC" w14:textId="77777777" w:rsidR="000C4F9E" w:rsidRPr="001B42FD" w:rsidRDefault="005679DA" w:rsidP="003670B4">
      <w:pPr>
        <w:spacing w:line="141" w:lineRule="atLeast"/>
        <w:jc w:val="both"/>
        <w:rPr>
          <w:color w:val="000000"/>
          <w:u w:val="single"/>
          <w:lang w:val="en-GB"/>
        </w:rPr>
      </w:pPr>
      <w:r w:rsidRPr="001B42FD">
        <w:rPr>
          <w:color w:val="000000"/>
          <w:u w:val="single"/>
          <w:lang w:val="en-GB"/>
        </w:rPr>
        <w:t>Editorial responsibilities</w:t>
      </w:r>
      <w:r w:rsidR="001B42FD">
        <w:rPr>
          <w:color w:val="000000"/>
          <w:u w:val="single"/>
          <w:lang w:val="en-GB"/>
        </w:rPr>
        <w:t xml:space="preserve"> and referee service</w:t>
      </w:r>
    </w:p>
    <w:p w14:paraId="0226BB49" w14:textId="77777777" w:rsidR="003670B4" w:rsidRDefault="003670B4" w:rsidP="003670B4">
      <w:pPr>
        <w:spacing w:line="141" w:lineRule="atLeast"/>
        <w:jc w:val="both"/>
        <w:rPr>
          <w:color w:val="000000"/>
          <w:lang w:val="en-GB"/>
        </w:rPr>
      </w:pPr>
      <w:r w:rsidRPr="00CE6331">
        <w:rPr>
          <w:color w:val="000000"/>
          <w:lang w:val="en-GB"/>
        </w:rPr>
        <w:t>- Member of the editorial board of the journal «</w:t>
      </w:r>
      <w:proofErr w:type="spellStart"/>
      <w:r w:rsidRPr="00CE6331">
        <w:rPr>
          <w:color w:val="000000"/>
          <w:lang w:val="en-GB"/>
        </w:rPr>
        <w:t>Quaderni</w:t>
      </w:r>
      <w:proofErr w:type="spellEnd"/>
      <w:r w:rsidRPr="00CE6331">
        <w:rPr>
          <w:color w:val="000000"/>
          <w:lang w:val="en-GB"/>
        </w:rPr>
        <w:t xml:space="preserve"> di </w:t>
      </w:r>
      <w:proofErr w:type="spellStart"/>
      <w:r w:rsidRPr="00CE6331">
        <w:rPr>
          <w:color w:val="000000"/>
          <w:lang w:val="en-GB"/>
        </w:rPr>
        <w:t>storia</w:t>
      </w:r>
      <w:proofErr w:type="spellEnd"/>
      <w:r w:rsidRPr="00CE6331">
        <w:rPr>
          <w:color w:val="000000"/>
          <w:lang w:val="en-GB"/>
        </w:rPr>
        <w:t>» [ISSN 0391-6936]</w:t>
      </w:r>
    </w:p>
    <w:p w14:paraId="22EB7FD1" w14:textId="77777777" w:rsidR="001B42FD" w:rsidRDefault="003670B4" w:rsidP="003670B4">
      <w:pPr>
        <w:spacing w:line="141" w:lineRule="atLeast"/>
        <w:jc w:val="both"/>
        <w:rPr>
          <w:color w:val="000000"/>
          <w:lang w:val="en-GB"/>
        </w:rPr>
      </w:pPr>
      <w:r w:rsidRPr="00CE6331">
        <w:rPr>
          <w:color w:val="000000"/>
          <w:lang w:val="en-GB"/>
        </w:rPr>
        <w:t>- Member of the scientific board of the series «</w:t>
      </w:r>
      <w:proofErr w:type="spellStart"/>
      <w:r w:rsidRPr="00CE6331">
        <w:rPr>
          <w:color w:val="000000"/>
          <w:lang w:val="en-GB"/>
        </w:rPr>
        <w:t>Ekdosis</w:t>
      </w:r>
      <w:proofErr w:type="spellEnd"/>
      <w:r w:rsidRPr="00CE6331">
        <w:rPr>
          <w:color w:val="000000"/>
          <w:lang w:val="en-GB"/>
        </w:rPr>
        <w:t xml:space="preserve">», </w:t>
      </w:r>
      <w:proofErr w:type="spellStart"/>
      <w:r w:rsidRPr="00CE6331">
        <w:rPr>
          <w:color w:val="000000"/>
          <w:lang w:val="en-GB"/>
        </w:rPr>
        <w:t>Edizioni</w:t>
      </w:r>
      <w:proofErr w:type="spellEnd"/>
      <w:r w:rsidRPr="00CE6331">
        <w:rPr>
          <w:color w:val="000000"/>
          <w:lang w:val="en-GB"/>
        </w:rPr>
        <w:t xml:space="preserve"> di </w:t>
      </w:r>
      <w:proofErr w:type="spellStart"/>
      <w:r w:rsidRPr="00CE6331">
        <w:rPr>
          <w:color w:val="000000"/>
          <w:lang w:val="en-GB"/>
        </w:rPr>
        <w:t>Pagina</w:t>
      </w:r>
      <w:proofErr w:type="spellEnd"/>
      <w:r w:rsidRPr="00CE6331">
        <w:rPr>
          <w:color w:val="000000"/>
          <w:lang w:val="en-GB"/>
        </w:rPr>
        <w:t xml:space="preserve">, Bari </w:t>
      </w:r>
    </w:p>
    <w:p w14:paraId="3F93336B" w14:textId="77777777" w:rsidR="003670B4" w:rsidRPr="00CE6331" w:rsidRDefault="003670B4" w:rsidP="003670B4">
      <w:pPr>
        <w:spacing w:line="130" w:lineRule="atLeast"/>
        <w:jc w:val="both"/>
        <w:rPr>
          <w:color w:val="000000"/>
          <w:lang w:val="en-GB"/>
        </w:rPr>
      </w:pPr>
      <w:r>
        <w:rPr>
          <w:color w:val="000000"/>
          <w:lang w:val="en-GB"/>
        </w:rPr>
        <w:t xml:space="preserve">- </w:t>
      </w:r>
      <w:r w:rsidR="001B42FD">
        <w:rPr>
          <w:color w:val="000000"/>
          <w:lang w:val="en-GB"/>
        </w:rPr>
        <w:t>R</w:t>
      </w:r>
      <w:r>
        <w:rPr>
          <w:color w:val="000000"/>
          <w:lang w:val="en-GB"/>
        </w:rPr>
        <w:t xml:space="preserve">eferee for </w:t>
      </w:r>
      <w:r w:rsidRPr="00CE6331">
        <w:rPr>
          <w:color w:val="000000"/>
          <w:lang w:val="en-GB"/>
        </w:rPr>
        <w:t>many national and international journals in the fields of Class</w:t>
      </w:r>
      <w:r>
        <w:rPr>
          <w:color w:val="000000"/>
          <w:lang w:val="en-GB"/>
        </w:rPr>
        <w:t xml:space="preserve">ics: «Acme» (ISSN: 0001-494X), </w:t>
      </w:r>
      <w:r w:rsidRPr="00CE6331">
        <w:rPr>
          <w:color w:val="000000"/>
          <w:lang w:val="en-GB"/>
        </w:rPr>
        <w:t xml:space="preserve">«Analecta </w:t>
      </w:r>
      <w:proofErr w:type="spellStart"/>
      <w:r w:rsidRPr="00CE6331">
        <w:rPr>
          <w:color w:val="000000"/>
          <w:lang w:val="en-GB"/>
        </w:rPr>
        <w:t>Papyrologica</w:t>
      </w:r>
      <w:proofErr w:type="spellEnd"/>
      <w:r w:rsidRPr="00CE6331">
        <w:rPr>
          <w:color w:val="000000"/>
          <w:lang w:val="en-GB"/>
        </w:rPr>
        <w:t>» (ISSN: 1122-2336), «</w:t>
      </w:r>
      <w:proofErr w:type="spellStart"/>
      <w:r w:rsidRPr="00CE6331">
        <w:rPr>
          <w:color w:val="000000"/>
          <w:lang w:val="en-GB"/>
        </w:rPr>
        <w:t>Commenta</w:t>
      </w:r>
      <w:r>
        <w:rPr>
          <w:color w:val="000000"/>
          <w:lang w:val="en-GB"/>
        </w:rPr>
        <w:t>ria</w:t>
      </w:r>
      <w:proofErr w:type="spellEnd"/>
      <w:r>
        <w:rPr>
          <w:color w:val="000000"/>
          <w:lang w:val="en-GB"/>
        </w:rPr>
        <w:t xml:space="preserve"> Classica» (ISSN 2283-5652), </w:t>
      </w:r>
      <w:r w:rsidRPr="00CE6331">
        <w:rPr>
          <w:color w:val="000000"/>
          <w:lang w:val="en-GB"/>
        </w:rPr>
        <w:t>«</w:t>
      </w:r>
      <w:proofErr w:type="spellStart"/>
      <w:r w:rsidRPr="00CE6331">
        <w:rPr>
          <w:color w:val="000000"/>
          <w:lang w:val="en-GB"/>
        </w:rPr>
        <w:t>Exemplaria</w:t>
      </w:r>
      <w:proofErr w:type="spellEnd"/>
      <w:r w:rsidRPr="00CE6331">
        <w:rPr>
          <w:color w:val="000000"/>
          <w:lang w:val="en-GB"/>
        </w:rPr>
        <w:t xml:space="preserve"> Classica» (ISSN: 1699-3225), «</w:t>
      </w:r>
      <w:proofErr w:type="spellStart"/>
      <w:r w:rsidRPr="00CE6331">
        <w:rPr>
          <w:color w:val="000000"/>
          <w:lang w:val="en-GB"/>
        </w:rPr>
        <w:t>Futuro</w:t>
      </w:r>
      <w:proofErr w:type="spellEnd"/>
      <w:r w:rsidRPr="00CE6331">
        <w:rPr>
          <w:color w:val="000000"/>
          <w:lang w:val="en-GB"/>
        </w:rPr>
        <w:t xml:space="preserve"> Classico» (ISSN: 2465-0951), «</w:t>
      </w:r>
      <w:proofErr w:type="spellStart"/>
      <w:r w:rsidRPr="00CE6331">
        <w:rPr>
          <w:color w:val="000000"/>
          <w:lang w:val="en-GB"/>
        </w:rPr>
        <w:t>Invigilata</w:t>
      </w:r>
      <w:proofErr w:type="spellEnd"/>
      <w:r w:rsidRPr="00CE6331">
        <w:rPr>
          <w:color w:val="000000"/>
          <w:lang w:val="en-GB"/>
        </w:rPr>
        <w:t xml:space="preserve"> </w:t>
      </w:r>
      <w:proofErr w:type="spellStart"/>
      <w:r w:rsidRPr="00CE6331">
        <w:rPr>
          <w:color w:val="000000"/>
          <w:lang w:val="en-GB"/>
        </w:rPr>
        <w:t>lucernis</w:t>
      </w:r>
      <w:proofErr w:type="spellEnd"/>
      <w:r w:rsidRPr="00CE6331">
        <w:rPr>
          <w:color w:val="000000"/>
          <w:lang w:val="en-GB"/>
        </w:rPr>
        <w:t>» (ISSN: 0392-8357), «Paideia» (ISSN: 2239-6381), «</w:t>
      </w:r>
      <w:proofErr w:type="spellStart"/>
      <w:r w:rsidRPr="00CE6331">
        <w:rPr>
          <w:color w:val="000000"/>
          <w:lang w:val="en-GB"/>
        </w:rPr>
        <w:t>Rhetorica</w:t>
      </w:r>
      <w:proofErr w:type="spellEnd"/>
      <w:r w:rsidRPr="00CE6331">
        <w:rPr>
          <w:color w:val="000000"/>
          <w:lang w:val="en-GB"/>
        </w:rPr>
        <w:t>» (ISSN: 0734-8584) «Segno e Testo» (ISSN: 2037-0245), «</w:t>
      </w:r>
      <w:proofErr w:type="spellStart"/>
      <w:r w:rsidRPr="00CE6331">
        <w:rPr>
          <w:color w:val="000000"/>
          <w:lang w:val="en-GB"/>
        </w:rPr>
        <w:t>Vetera</w:t>
      </w:r>
      <w:proofErr w:type="spellEnd"/>
      <w:r w:rsidRPr="00CE6331">
        <w:rPr>
          <w:color w:val="000000"/>
          <w:lang w:val="en-GB"/>
        </w:rPr>
        <w:t xml:space="preserve"> </w:t>
      </w:r>
      <w:proofErr w:type="spellStart"/>
      <w:r w:rsidRPr="00CE6331">
        <w:rPr>
          <w:color w:val="000000"/>
          <w:lang w:val="en-GB"/>
        </w:rPr>
        <w:t>Christianorum</w:t>
      </w:r>
      <w:proofErr w:type="spellEnd"/>
      <w:r w:rsidRPr="00CE6331">
        <w:rPr>
          <w:color w:val="000000"/>
          <w:lang w:val="en-GB"/>
        </w:rPr>
        <w:t>» (ISSN: 1121-9696)</w:t>
      </w:r>
    </w:p>
    <w:p w14:paraId="0D286D16" w14:textId="77777777" w:rsidR="003670B4" w:rsidRPr="00CE6331" w:rsidRDefault="003670B4" w:rsidP="003670B4">
      <w:pPr>
        <w:spacing w:line="141" w:lineRule="atLeast"/>
        <w:jc w:val="both"/>
        <w:rPr>
          <w:color w:val="000000"/>
          <w:lang w:val="en-GB"/>
        </w:rPr>
      </w:pPr>
      <w:r w:rsidRPr="00CE6331">
        <w:rPr>
          <w:color w:val="000000"/>
          <w:lang w:val="en-GB"/>
        </w:rPr>
        <w:t> </w:t>
      </w:r>
    </w:p>
    <w:p w14:paraId="62ED96F8" w14:textId="77777777" w:rsidR="003670B4" w:rsidRPr="00CE6331" w:rsidRDefault="001B42FD" w:rsidP="003670B4">
      <w:pPr>
        <w:spacing w:line="141" w:lineRule="atLeast"/>
        <w:jc w:val="both"/>
        <w:rPr>
          <w:color w:val="000000"/>
          <w:lang w:val="en-GB"/>
        </w:rPr>
      </w:pPr>
      <w:r w:rsidRPr="001B42FD">
        <w:rPr>
          <w:color w:val="000000"/>
          <w:u w:val="single"/>
          <w:lang w:val="en-GB"/>
        </w:rPr>
        <w:t>Conferences</w:t>
      </w:r>
      <w:r w:rsidR="003670B4" w:rsidRPr="00CE6331">
        <w:rPr>
          <w:color w:val="000000"/>
          <w:lang w:val="en-GB"/>
        </w:rPr>
        <w:t> </w:t>
      </w:r>
    </w:p>
    <w:p w14:paraId="4FC587DA" w14:textId="77777777" w:rsidR="003670B4" w:rsidRPr="00CE6331" w:rsidRDefault="001B42FD" w:rsidP="003670B4">
      <w:pPr>
        <w:jc w:val="both"/>
        <w:rPr>
          <w:color w:val="000000"/>
          <w:lang w:val="en-GB"/>
        </w:rPr>
      </w:pPr>
      <w:r>
        <w:rPr>
          <w:color w:val="000000"/>
          <w:lang w:val="en-GB"/>
        </w:rPr>
        <w:t>-</w:t>
      </w:r>
      <w:r w:rsidR="003670B4" w:rsidRPr="00CE6331">
        <w:rPr>
          <w:color w:val="000000"/>
          <w:lang w:val="en-GB"/>
        </w:rPr>
        <w:t xml:space="preserve">Among the conferences/seminars he took part in as invited speaker: </w:t>
      </w:r>
      <w:r w:rsidR="003670B4">
        <w:rPr>
          <w:color w:val="000000"/>
          <w:lang w:val="en-GB"/>
        </w:rPr>
        <w:t>‘</w:t>
      </w:r>
      <w:r w:rsidR="003670B4" w:rsidRPr="00CE6331">
        <w:rPr>
          <w:bCs/>
          <w:color w:val="000000"/>
          <w:lang w:val="en-GB"/>
        </w:rPr>
        <w:t xml:space="preserve">Die </w:t>
      </w:r>
      <w:proofErr w:type="spellStart"/>
      <w:r w:rsidR="003670B4" w:rsidRPr="00CE6331">
        <w:rPr>
          <w:bCs/>
          <w:color w:val="000000"/>
          <w:lang w:val="en-GB"/>
        </w:rPr>
        <w:t>getäuschte</w:t>
      </w:r>
      <w:proofErr w:type="spellEnd"/>
      <w:r w:rsidR="003670B4" w:rsidRPr="00CE6331">
        <w:rPr>
          <w:color w:val="000000"/>
          <w:lang w:val="en-GB"/>
        </w:rPr>
        <w:t> </w:t>
      </w:r>
      <w:proofErr w:type="spellStart"/>
      <w:r w:rsidR="003670B4" w:rsidRPr="00CE6331">
        <w:rPr>
          <w:color w:val="000000"/>
          <w:lang w:val="en-GB"/>
        </w:rPr>
        <w:t>Wissenschaft</w:t>
      </w:r>
      <w:proofErr w:type="spellEnd"/>
      <w:r w:rsidR="003670B4" w:rsidRPr="00CE6331">
        <w:rPr>
          <w:color w:val="000000"/>
          <w:lang w:val="en-GB"/>
        </w:rPr>
        <w:t xml:space="preserve">: Ein Genie </w:t>
      </w:r>
      <w:proofErr w:type="spellStart"/>
      <w:r w:rsidR="003670B4" w:rsidRPr="00CE6331">
        <w:rPr>
          <w:color w:val="000000"/>
          <w:lang w:val="en-GB"/>
        </w:rPr>
        <w:t>betrügt</w:t>
      </w:r>
      <w:proofErr w:type="spellEnd"/>
      <w:r w:rsidR="003670B4" w:rsidRPr="00CE6331">
        <w:rPr>
          <w:color w:val="000000"/>
          <w:lang w:val="en-GB"/>
        </w:rPr>
        <w:t xml:space="preserve"> Europa. Symposium </w:t>
      </w:r>
      <w:proofErr w:type="spellStart"/>
      <w:r w:rsidR="003670B4" w:rsidRPr="00CE6331">
        <w:rPr>
          <w:color w:val="000000"/>
          <w:lang w:val="en-GB"/>
        </w:rPr>
        <w:t>zum</w:t>
      </w:r>
      <w:proofErr w:type="spellEnd"/>
      <w:r w:rsidR="003670B4" w:rsidRPr="00CE6331">
        <w:rPr>
          <w:color w:val="000000"/>
          <w:lang w:val="en-GB"/>
        </w:rPr>
        <w:t xml:space="preserve"> </w:t>
      </w:r>
      <w:proofErr w:type="spellStart"/>
      <w:r w:rsidR="003670B4" w:rsidRPr="00CE6331">
        <w:rPr>
          <w:color w:val="000000"/>
          <w:lang w:val="en-GB"/>
        </w:rPr>
        <w:t>mutmaßlichen</w:t>
      </w:r>
      <w:proofErr w:type="spellEnd"/>
      <w:r w:rsidR="003670B4" w:rsidRPr="00CE6331">
        <w:rPr>
          <w:color w:val="000000"/>
          <w:lang w:val="en-GB"/>
        </w:rPr>
        <w:t xml:space="preserve"> 194. </w:t>
      </w:r>
      <w:proofErr w:type="spellStart"/>
      <w:r w:rsidR="003670B4" w:rsidRPr="00CE6331">
        <w:rPr>
          <w:color w:val="000000"/>
          <w:lang w:val="en-GB"/>
        </w:rPr>
        <w:t>Geburtstag</w:t>
      </w:r>
      <w:proofErr w:type="spellEnd"/>
      <w:r w:rsidR="003670B4" w:rsidRPr="00CE6331">
        <w:rPr>
          <w:color w:val="000000"/>
          <w:lang w:val="en-GB"/>
        </w:rPr>
        <w:t xml:space="preserve"> des Konstantin Simonides</w:t>
      </w:r>
      <w:r w:rsidR="003670B4">
        <w:rPr>
          <w:color w:val="000000"/>
          <w:lang w:val="en-GB"/>
        </w:rPr>
        <w:t>’</w:t>
      </w:r>
      <w:r w:rsidR="003670B4" w:rsidRPr="00CE6331">
        <w:rPr>
          <w:color w:val="000000"/>
          <w:lang w:val="en-GB"/>
        </w:rPr>
        <w:t xml:space="preserve">, </w:t>
      </w:r>
      <w:proofErr w:type="spellStart"/>
      <w:r w:rsidR="003670B4" w:rsidRPr="00CE6331">
        <w:rPr>
          <w:color w:val="000000"/>
          <w:lang w:val="en-GB"/>
        </w:rPr>
        <w:t>Österreichische</w:t>
      </w:r>
      <w:proofErr w:type="spellEnd"/>
      <w:r w:rsidR="003670B4" w:rsidRPr="00CE6331">
        <w:rPr>
          <w:color w:val="000000"/>
          <w:lang w:val="en-GB"/>
        </w:rPr>
        <w:t xml:space="preserve"> Akademie der </w:t>
      </w:r>
      <w:proofErr w:type="spellStart"/>
      <w:r w:rsidR="003670B4" w:rsidRPr="00CE6331">
        <w:rPr>
          <w:color w:val="000000"/>
          <w:lang w:val="en-GB"/>
        </w:rPr>
        <w:t>Wi</w:t>
      </w:r>
      <w:r w:rsidR="003670B4">
        <w:rPr>
          <w:color w:val="000000"/>
          <w:lang w:val="en-GB"/>
        </w:rPr>
        <w:t>ssenschaften</w:t>
      </w:r>
      <w:proofErr w:type="spellEnd"/>
      <w:r w:rsidR="003670B4">
        <w:rPr>
          <w:color w:val="000000"/>
          <w:lang w:val="en-GB"/>
        </w:rPr>
        <w:t>, Wien, Nov. 2014; ‘</w:t>
      </w:r>
      <w:r w:rsidR="003670B4" w:rsidRPr="00CE6331">
        <w:rPr>
          <w:color w:val="000000"/>
          <w:lang w:val="en-GB"/>
        </w:rPr>
        <w:t>Textual Criticism</w:t>
      </w:r>
      <w:r w:rsidR="003670B4">
        <w:rPr>
          <w:color w:val="000000"/>
          <w:lang w:val="en-GB"/>
        </w:rPr>
        <w:t xml:space="preserve"> on Literary Fragments Seminars’</w:t>
      </w:r>
      <w:r w:rsidR="003670B4" w:rsidRPr="00CE6331">
        <w:rPr>
          <w:color w:val="000000"/>
          <w:lang w:val="en-GB"/>
        </w:rPr>
        <w:t>,</w:t>
      </w:r>
      <w:r w:rsidR="003670B4">
        <w:rPr>
          <w:color w:val="000000"/>
          <w:lang w:val="en-GB"/>
        </w:rPr>
        <w:t xml:space="preserve"> Oxford University, Feb. 2018; ‘</w:t>
      </w:r>
      <w:r w:rsidR="003670B4" w:rsidRPr="00CE6331">
        <w:rPr>
          <w:color w:val="000000"/>
          <w:lang w:val="en-GB"/>
        </w:rPr>
        <w:t>Witnesses and Evidence. Information and Decision Making in Drama and Oratory</w:t>
      </w:r>
      <w:r w:rsidR="003670B4">
        <w:rPr>
          <w:color w:val="000000"/>
          <w:lang w:val="en-GB"/>
        </w:rPr>
        <w:t>’</w:t>
      </w:r>
      <w:r w:rsidR="003670B4" w:rsidRPr="00CE6331">
        <w:rPr>
          <w:color w:val="000000"/>
          <w:lang w:val="en-GB"/>
        </w:rPr>
        <w:t xml:space="preserve">, Kalamata, Second International Conference on </w:t>
      </w:r>
      <w:r w:rsidR="003670B4">
        <w:rPr>
          <w:color w:val="000000"/>
          <w:lang w:val="en-GB"/>
        </w:rPr>
        <w:t>Drama and Oratory, March 2018; ‘The Social History of Truth’</w:t>
      </w:r>
      <w:r w:rsidR="003670B4" w:rsidRPr="00CE6331">
        <w:rPr>
          <w:color w:val="000000"/>
          <w:lang w:val="en-GB"/>
        </w:rPr>
        <w:t>, University o</w:t>
      </w:r>
      <w:r w:rsidR="003670B4">
        <w:rPr>
          <w:color w:val="000000"/>
          <w:lang w:val="en-GB"/>
        </w:rPr>
        <w:t>f California, Berkeley (paper: ‘</w:t>
      </w:r>
      <w:r w:rsidR="003670B4" w:rsidRPr="00CE6331">
        <w:rPr>
          <w:color w:val="000000"/>
          <w:lang w:val="en-GB"/>
        </w:rPr>
        <w:t>The Truth of Ancient Texts: Textual Scholarship and Forgeries</w:t>
      </w:r>
      <w:r w:rsidR="003670B4">
        <w:rPr>
          <w:color w:val="000000"/>
          <w:lang w:val="en-GB"/>
        </w:rPr>
        <w:t>’), Feb. 2020</w:t>
      </w:r>
    </w:p>
    <w:p w14:paraId="67F99547" w14:textId="77777777" w:rsidR="003670B4" w:rsidRPr="00CE6331" w:rsidRDefault="003670B4" w:rsidP="003670B4">
      <w:pPr>
        <w:spacing w:line="141" w:lineRule="atLeast"/>
        <w:jc w:val="both"/>
        <w:rPr>
          <w:color w:val="000000"/>
          <w:lang w:val="en-GB"/>
        </w:rPr>
      </w:pPr>
      <w:r w:rsidRPr="00CE6331">
        <w:rPr>
          <w:color w:val="000000"/>
          <w:lang w:val="en-GB"/>
        </w:rPr>
        <w:t> </w:t>
      </w:r>
    </w:p>
    <w:p w14:paraId="6CE0B1E3" w14:textId="77777777" w:rsidR="00980E69" w:rsidRDefault="001B42FD" w:rsidP="00980E69">
      <w:pPr>
        <w:spacing w:line="212" w:lineRule="atLeast"/>
        <w:jc w:val="both"/>
        <w:rPr>
          <w:color w:val="000000"/>
          <w:u w:val="single"/>
          <w:lang w:val="en-GB"/>
        </w:rPr>
      </w:pPr>
      <w:r w:rsidRPr="001B42FD">
        <w:rPr>
          <w:color w:val="000000"/>
          <w:u w:val="single"/>
          <w:lang w:val="en-GB"/>
        </w:rPr>
        <w:t>Research</w:t>
      </w:r>
    </w:p>
    <w:p w14:paraId="03153D4A" w14:textId="77777777" w:rsidR="003670B4" w:rsidRPr="00CE6331" w:rsidRDefault="00980E69" w:rsidP="00980E69">
      <w:pPr>
        <w:spacing w:line="212" w:lineRule="atLeast"/>
        <w:jc w:val="both"/>
        <w:rPr>
          <w:color w:val="000000"/>
          <w:lang w:val="en-GB"/>
        </w:rPr>
      </w:pPr>
      <w:r>
        <w:rPr>
          <w:color w:val="000000"/>
          <w:lang w:val="en-GB"/>
        </w:rPr>
        <w:t>M</w:t>
      </w:r>
      <w:r w:rsidR="003670B4" w:rsidRPr="00CE6331">
        <w:rPr>
          <w:color w:val="000000"/>
          <w:lang w:val="en-GB"/>
        </w:rPr>
        <w:t>ain research fields</w:t>
      </w:r>
      <w:r>
        <w:rPr>
          <w:color w:val="000000"/>
          <w:lang w:val="en-GB"/>
        </w:rPr>
        <w:t>:</w:t>
      </w:r>
      <w:r w:rsidR="001B42FD">
        <w:rPr>
          <w:color w:val="000000"/>
          <w:lang w:val="en-GB"/>
        </w:rPr>
        <w:t xml:space="preserve"> Classical Philology</w:t>
      </w:r>
      <w:r w:rsidR="003670B4" w:rsidRPr="00CE6331">
        <w:rPr>
          <w:color w:val="000000"/>
          <w:lang w:val="en-GB"/>
        </w:rPr>
        <w:t xml:space="preserve">, History of Classical Texts, </w:t>
      </w:r>
      <w:r w:rsidR="00941D12">
        <w:rPr>
          <w:color w:val="000000"/>
          <w:lang w:val="en-GB"/>
        </w:rPr>
        <w:t xml:space="preserve">Papyrology, </w:t>
      </w:r>
      <w:r w:rsidR="009B5C0E">
        <w:rPr>
          <w:color w:val="000000"/>
          <w:lang w:val="en-GB"/>
        </w:rPr>
        <w:t>Classical Tradition and Reception</w:t>
      </w:r>
      <w:r w:rsidR="003670B4" w:rsidRPr="00CE6331">
        <w:rPr>
          <w:color w:val="000000"/>
          <w:lang w:val="en-GB"/>
        </w:rPr>
        <w:t xml:space="preserve">, History of Classical Scholarship. </w:t>
      </w:r>
      <w:r w:rsidR="009B5C0E">
        <w:rPr>
          <w:color w:val="000000"/>
          <w:lang w:val="en-GB"/>
        </w:rPr>
        <w:t>As far as Greek literature is concerned, h</w:t>
      </w:r>
      <w:r w:rsidR="003670B4" w:rsidRPr="00CE6331">
        <w:rPr>
          <w:color w:val="000000"/>
          <w:lang w:val="en-GB"/>
        </w:rPr>
        <w:t xml:space="preserve">is research </w:t>
      </w:r>
      <w:proofErr w:type="spellStart"/>
      <w:r w:rsidR="003670B4" w:rsidRPr="00CE6331">
        <w:rPr>
          <w:color w:val="000000"/>
          <w:lang w:val="en-GB"/>
        </w:rPr>
        <w:t>centers</w:t>
      </w:r>
      <w:proofErr w:type="spellEnd"/>
      <w:r w:rsidR="003670B4" w:rsidRPr="00CE6331">
        <w:rPr>
          <w:color w:val="000000"/>
          <w:lang w:val="en-GB"/>
        </w:rPr>
        <w:t xml:space="preserve"> on Attic Oratory, with particular attention to the manuscript transmission, the history of text (including problems of attribution), the biographical tradition and the reception of the Attic Orators. He has especially studied the manuscript tradition of Isocrates and collaborates to the new critical edition of Isocrates</w:t>
      </w:r>
      <w:r w:rsidR="009B5C0E">
        <w:rPr>
          <w:color w:val="000000"/>
          <w:lang w:val="en-GB"/>
        </w:rPr>
        <w:t>’</w:t>
      </w:r>
      <w:r w:rsidR="003670B4">
        <w:rPr>
          <w:color w:val="000000"/>
          <w:lang w:val="en-GB"/>
        </w:rPr>
        <w:t xml:space="preserve"> works to be published in the ‘Oxford Classical Texts’</w:t>
      </w:r>
      <w:r w:rsidR="009B5C0E">
        <w:rPr>
          <w:color w:val="000000"/>
          <w:lang w:val="en-GB"/>
        </w:rPr>
        <w:t xml:space="preserve"> series</w:t>
      </w:r>
      <w:r w:rsidR="003670B4" w:rsidRPr="00CE6331">
        <w:rPr>
          <w:color w:val="000000"/>
          <w:lang w:val="en-GB"/>
        </w:rPr>
        <w:t>. As regards the History of Classical Scholarship, he has studied in particular the relationships between Italian, English and German scholars</w:t>
      </w:r>
      <w:r w:rsidR="009B5C0E">
        <w:rPr>
          <w:color w:val="000000"/>
          <w:lang w:val="en-GB"/>
        </w:rPr>
        <w:t xml:space="preserve"> in 19</w:t>
      </w:r>
      <w:r w:rsidR="009B5C0E" w:rsidRPr="009B5C0E">
        <w:rPr>
          <w:color w:val="000000"/>
          <w:vertAlign w:val="superscript"/>
          <w:lang w:val="en-GB"/>
        </w:rPr>
        <w:t>th</w:t>
      </w:r>
      <w:r w:rsidR="009B5C0E">
        <w:rPr>
          <w:color w:val="000000"/>
          <w:lang w:val="en-GB"/>
        </w:rPr>
        <w:t xml:space="preserve"> and 20</w:t>
      </w:r>
      <w:r w:rsidR="009B5C0E" w:rsidRPr="009B5C0E">
        <w:rPr>
          <w:color w:val="000000"/>
          <w:vertAlign w:val="superscript"/>
          <w:lang w:val="en-GB"/>
        </w:rPr>
        <w:t>th</w:t>
      </w:r>
      <w:r w:rsidR="009B5C0E">
        <w:rPr>
          <w:color w:val="000000"/>
          <w:lang w:val="en-GB"/>
        </w:rPr>
        <w:t xml:space="preserve"> centuries</w:t>
      </w:r>
      <w:r w:rsidR="003670B4" w:rsidRPr="00CE6331">
        <w:rPr>
          <w:color w:val="000000"/>
          <w:lang w:val="en-GB"/>
        </w:rPr>
        <w:t xml:space="preserve"> and the impact of forgers on modern scholarship. The </w:t>
      </w:r>
      <w:r w:rsidR="003670B4" w:rsidRPr="00CE6331">
        <w:rPr>
          <w:color w:val="000000"/>
          <w:lang w:val="en-GB"/>
        </w:rPr>
        <w:lastRenderedPageBreak/>
        <w:t xml:space="preserve">ancient book circulation, the relationship between Greek and Latin rhetoric, the Byzantine literature in the age of the </w:t>
      </w:r>
      <w:proofErr w:type="spellStart"/>
      <w:r w:rsidR="003670B4" w:rsidRPr="00CE6331">
        <w:rPr>
          <w:color w:val="000000"/>
          <w:lang w:val="en-GB"/>
        </w:rPr>
        <w:t>Comneni</w:t>
      </w:r>
      <w:proofErr w:type="spellEnd"/>
      <w:r w:rsidR="003670B4" w:rsidRPr="00CE6331">
        <w:rPr>
          <w:color w:val="000000"/>
          <w:lang w:val="en-GB"/>
        </w:rPr>
        <w:t xml:space="preserve"> can also be included in his interests.</w:t>
      </w:r>
    </w:p>
    <w:p w14:paraId="60DD020B" w14:textId="77777777" w:rsidR="009B5C0E" w:rsidRDefault="009B5C0E" w:rsidP="003670B4">
      <w:pPr>
        <w:spacing w:line="141" w:lineRule="atLeast"/>
        <w:jc w:val="both"/>
        <w:rPr>
          <w:color w:val="000000"/>
          <w:lang w:val="en-GB"/>
        </w:rPr>
      </w:pPr>
    </w:p>
    <w:p w14:paraId="19A448C0" w14:textId="77777777" w:rsidR="009B5C0E" w:rsidRDefault="003670B4" w:rsidP="003670B4">
      <w:pPr>
        <w:spacing w:line="141" w:lineRule="atLeast"/>
        <w:jc w:val="both"/>
        <w:rPr>
          <w:color w:val="000000"/>
          <w:lang w:val="en-GB"/>
        </w:rPr>
      </w:pPr>
      <w:r w:rsidRPr="00CE6331">
        <w:rPr>
          <w:color w:val="000000"/>
          <w:lang w:val="en-GB"/>
        </w:rPr>
        <w:t xml:space="preserve">He is the author of </w:t>
      </w:r>
      <w:r w:rsidR="00941D12">
        <w:rPr>
          <w:color w:val="000000"/>
          <w:lang w:val="en-GB"/>
        </w:rPr>
        <w:t xml:space="preserve">ca. </w:t>
      </w:r>
      <w:r w:rsidRPr="00CE6331">
        <w:rPr>
          <w:color w:val="000000"/>
          <w:lang w:val="en-GB"/>
        </w:rPr>
        <w:t xml:space="preserve">80 publications (1999-today) including </w:t>
      </w:r>
      <w:r w:rsidR="009B5C0E">
        <w:rPr>
          <w:color w:val="000000"/>
          <w:lang w:val="en-GB"/>
        </w:rPr>
        <w:t>books, papers in journals,</w:t>
      </w:r>
      <w:r w:rsidRPr="00CE6331">
        <w:rPr>
          <w:color w:val="000000"/>
          <w:lang w:val="en-GB"/>
        </w:rPr>
        <w:t xml:space="preserve"> book </w:t>
      </w:r>
      <w:proofErr w:type="gramStart"/>
      <w:r w:rsidRPr="00CE6331">
        <w:rPr>
          <w:color w:val="000000"/>
          <w:lang w:val="en-GB"/>
        </w:rPr>
        <w:t>chapters,</w:t>
      </w:r>
      <w:r w:rsidR="009B5C0E">
        <w:rPr>
          <w:color w:val="000000"/>
          <w:lang w:val="en-GB"/>
        </w:rPr>
        <w:t xml:space="preserve"> </w:t>
      </w:r>
      <w:r w:rsidRPr="00CE6331">
        <w:rPr>
          <w:color w:val="000000"/>
          <w:lang w:val="en-GB"/>
        </w:rPr>
        <w:t xml:space="preserve"> </w:t>
      </w:r>
      <w:r w:rsidR="009B5C0E" w:rsidRPr="00CE6331">
        <w:rPr>
          <w:color w:val="000000"/>
          <w:lang w:val="en-GB"/>
        </w:rPr>
        <w:t>annotated</w:t>
      </w:r>
      <w:proofErr w:type="gramEnd"/>
      <w:r w:rsidR="009B5C0E" w:rsidRPr="00CE6331">
        <w:rPr>
          <w:color w:val="000000"/>
          <w:lang w:val="en-GB"/>
        </w:rPr>
        <w:t xml:space="preserve"> translations</w:t>
      </w:r>
      <w:r w:rsidR="009B5C0E">
        <w:rPr>
          <w:color w:val="000000"/>
          <w:lang w:val="en-GB"/>
        </w:rPr>
        <w:t xml:space="preserve">, </w:t>
      </w:r>
      <w:r w:rsidRPr="00CE6331">
        <w:rPr>
          <w:color w:val="000000"/>
          <w:lang w:val="en-GB"/>
        </w:rPr>
        <w:t xml:space="preserve">review articles. </w:t>
      </w:r>
    </w:p>
    <w:p w14:paraId="4E87B5AE" w14:textId="77777777" w:rsidR="009B5C0E" w:rsidRPr="0033062E" w:rsidRDefault="009B5C0E" w:rsidP="003670B4">
      <w:pPr>
        <w:spacing w:line="141" w:lineRule="atLeast"/>
        <w:jc w:val="both"/>
        <w:rPr>
          <w:color w:val="000000"/>
          <w:lang w:val="en-GB"/>
        </w:rPr>
      </w:pPr>
      <w:r w:rsidRPr="0033062E">
        <w:rPr>
          <w:color w:val="000000"/>
          <w:lang w:val="en-GB"/>
        </w:rPr>
        <w:t>Selected List:</w:t>
      </w:r>
    </w:p>
    <w:p w14:paraId="4751BC70" w14:textId="77777777" w:rsidR="009B5C0E" w:rsidRPr="00941D12" w:rsidRDefault="009B5C0E" w:rsidP="009B5C0E">
      <w:pPr>
        <w:autoSpaceDE w:val="0"/>
        <w:autoSpaceDN w:val="0"/>
        <w:adjustRightInd w:val="0"/>
        <w:jc w:val="both"/>
        <w:rPr>
          <w:iCs/>
          <w:sz w:val="22"/>
          <w:szCs w:val="22"/>
        </w:rPr>
      </w:pPr>
      <w:r w:rsidRPr="00941D12">
        <w:rPr>
          <w:iCs/>
          <w:sz w:val="22"/>
          <w:szCs w:val="22"/>
          <w:u w:val="single"/>
        </w:rPr>
        <w:t>books</w:t>
      </w:r>
    </w:p>
    <w:p w14:paraId="25B6E191" w14:textId="77777777" w:rsidR="009B5C0E" w:rsidRPr="00941D12" w:rsidRDefault="00941D12" w:rsidP="009B5C0E">
      <w:pPr>
        <w:autoSpaceDE w:val="0"/>
        <w:autoSpaceDN w:val="0"/>
        <w:adjustRightInd w:val="0"/>
        <w:jc w:val="both"/>
        <w:rPr>
          <w:sz w:val="22"/>
          <w:szCs w:val="22"/>
        </w:rPr>
      </w:pPr>
      <w:r>
        <w:rPr>
          <w:iCs/>
          <w:sz w:val="22"/>
          <w:szCs w:val="22"/>
        </w:rPr>
        <w:t xml:space="preserve">- </w:t>
      </w:r>
      <w:r w:rsidR="009B5C0E" w:rsidRPr="00941D12">
        <w:rPr>
          <w:i/>
          <w:iCs/>
          <w:sz w:val="22"/>
          <w:szCs w:val="22"/>
        </w:rPr>
        <w:t>Per la storia del testo di Isocrate. La testimonianza d’autore</w:t>
      </w:r>
      <w:r w:rsidR="009B5C0E" w:rsidRPr="00941D12">
        <w:rPr>
          <w:sz w:val="22"/>
          <w:szCs w:val="22"/>
        </w:rPr>
        <w:t>, Bari 2003</w:t>
      </w:r>
    </w:p>
    <w:p w14:paraId="73F83916" w14:textId="77777777" w:rsidR="009B5C0E" w:rsidRPr="00941D12" w:rsidRDefault="00941D12" w:rsidP="009B5C0E">
      <w:pPr>
        <w:autoSpaceDE w:val="0"/>
        <w:autoSpaceDN w:val="0"/>
        <w:adjustRightInd w:val="0"/>
        <w:jc w:val="both"/>
        <w:rPr>
          <w:sz w:val="22"/>
          <w:szCs w:val="22"/>
        </w:rPr>
      </w:pPr>
      <w:r w:rsidRPr="00941D12">
        <w:rPr>
          <w:iCs/>
          <w:sz w:val="22"/>
          <w:szCs w:val="22"/>
          <w:lang w:val="en-GB"/>
        </w:rPr>
        <w:t xml:space="preserve">- </w:t>
      </w:r>
      <w:r w:rsidR="009B5C0E" w:rsidRPr="00941D12">
        <w:rPr>
          <w:i/>
          <w:iCs/>
          <w:sz w:val="22"/>
          <w:szCs w:val="22"/>
          <w:lang w:val="en-GB"/>
        </w:rPr>
        <w:t xml:space="preserve">Harold Idris Bell - Medea </w:t>
      </w:r>
      <w:proofErr w:type="spellStart"/>
      <w:r w:rsidR="009B5C0E" w:rsidRPr="00941D12">
        <w:rPr>
          <w:i/>
          <w:iCs/>
          <w:sz w:val="22"/>
          <w:szCs w:val="22"/>
          <w:lang w:val="en-GB"/>
        </w:rPr>
        <w:t>Norsa</w:t>
      </w:r>
      <w:proofErr w:type="spellEnd"/>
      <w:r w:rsidR="009B5C0E" w:rsidRPr="00941D12">
        <w:rPr>
          <w:i/>
          <w:iCs/>
          <w:sz w:val="22"/>
          <w:szCs w:val="22"/>
          <w:lang w:val="en-GB"/>
        </w:rPr>
        <w:t xml:space="preserve">. </w:t>
      </w:r>
      <w:r w:rsidR="009B5C0E" w:rsidRPr="00941D12">
        <w:rPr>
          <w:i/>
          <w:iCs/>
          <w:sz w:val="22"/>
          <w:szCs w:val="22"/>
        </w:rPr>
        <w:t>Carteggio 1926-1949</w:t>
      </w:r>
      <w:r w:rsidR="009B5C0E" w:rsidRPr="00941D12">
        <w:rPr>
          <w:sz w:val="22"/>
          <w:szCs w:val="22"/>
        </w:rPr>
        <w:t>, Bari 2005</w:t>
      </w:r>
    </w:p>
    <w:p w14:paraId="14B2F0CA" w14:textId="77777777" w:rsidR="009B5C0E" w:rsidRPr="00941D12" w:rsidRDefault="00825421" w:rsidP="003670B4">
      <w:pPr>
        <w:spacing w:line="141" w:lineRule="atLeast"/>
        <w:jc w:val="both"/>
        <w:rPr>
          <w:color w:val="000000"/>
          <w:sz w:val="22"/>
          <w:szCs w:val="22"/>
          <w:u w:val="single"/>
        </w:rPr>
      </w:pPr>
      <w:r w:rsidRPr="00941D12">
        <w:rPr>
          <w:color w:val="000000"/>
          <w:sz w:val="22"/>
          <w:szCs w:val="22"/>
          <w:u w:val="single"/>
        </w:rPr>
        <w:t>a</w:t>
      </w:r>
      <w:r w:rsidR="009B5C0E" w:rsidRPr="00941D12">
        <w:rPr>
          <w:color w:val="000000"/>
          <w:sz w:val="22"/>
          <w:szCs w:val="22"/>
          <w:u w:val="single"/>
        </w:rPr>
        <w:t>rticles in journals</w:t>
      </w:r>
    </w:p>
    <w:p w14:paraId="2FCC2929" w14:textId="77777777" w:rsidR="009B5C0E" w:rsidRPr="00941D12" w:rsidRDefault="00941D12" w:rsidP="009B5C0E">
      <w:pPr>
        <w:autoSpaceDE w:val="0"/>
        <w:autoSpaceDN w:val="0"/>
        <w:adjustRightInd w:val="0"/>
        <w:jc w:val="both"/>
        <w:rPr>
          <w:color w:val="000000"/>
          <w:sz w:val="22"/>
          <w:szCs w:val="22"/>
        </w:rPr>
      </w:pPr>
      <w:r>
        <w:rPr>
          <w:iCs/>
          <w:sz w:val="22"/>
          <w:szCs w:val="22"/>
        </w:rPr>
        <w:t xml:space="preserve">- </w:t>
      </w:r>
      <w:r w:rsidR="009B5C0E" w:rsidRPr="00941D12">
        <w:rPr>
          <w:i/>
          <w:iCs/>
          <w:sz w:val="22"/>
          <w:szCs w:val="22"/>
        </w:rPr>
        <w:t xml:space="preserve">Demostene, Contro Androzione (XXII) 72: </w:t>
      </w:r>
      <w:proofErr w:type="spellStart"/>
      <w:r w:rsidR="009B5C0E" w:rsidRPr="00941D12">
        <w:rPr>
          <w:i/>
          <w:sz w:val="22"/>
          <w:szCs w:val="22"/>
          <w:lang w:val="el-GR"/>
        </w:rPr>
        <w:t>χοινικίς</w:t>
      </w:r>
      <w:proofErr w:type="spellEnd"/>
      <w:r w:rsidR="009B5C0E" w:rsidRPr="00941D12">
        <w:rPr>
          <w:sz w:val="22"/>
          <w:szCs w:val="22"/>
        </w:rPr>
        <w:t>, «Quaderni di storia» 50, 1999, pp. 145-1</w:t>
      </w:r>
    </w:p>
    <w:p w14:paraId="4653D114" w14:textId="77777777" w:rsidR="003670B4" w:rsidRPr="00941D12" w:rsidRDefault="00941D12" w:rsidP="009B5C0E">
      <w:pPr>
        <w:autoSpaceDE w:val="0"/>
        <w:autoSpaceDN w:val="0"/>
        <w:adjustRightInd w:val="0"/>
        <w:jc w:val="both"/>
        <w:rPr>
          <w:sz w:val="22"/>
          <w:szCs w:val="22"/>
        </w:rPr>
      </w:pPr>
      <w:r>
        <w:rPr>
          <w:iCs/>
          <w:sz w:val="22"/>
          <w:szCs w:val="22"/>
        </w:rPr>
        <w:t xml:space="preserve">- </w:t>
      </w:r>
      <w:r w:rsidR="009B5C0E" w:rsidRPr="00941D12">
        <w:rPr>
          <w:i/>
          <w:iCs/>
          <w:sz w:val="22"/>
          <w:szCs w:val="22"/>
        </w:rPr>
        <w:t>I ‘parenti’ di Isocrate. Sullo scambio, 4 e un commento anonimo alla Retorica di Aristotele (CAG XXI.2</w:t>
      </w:r>
      <w:r w:rsidR="009B5C0E" w:rsidRPr="00941D12">
        <w:rPr>
          <w:sz w:val="22"/>
          <w:szCs w:val="22"/>
        </w:rPr>
        <w:t xml:space="preserve">, </w:t>
      </w:r>
      <w:r w:rsidR="009B5C0E" w:rsidRPr="00941D12">
        <w:rPr>
          <w:i/>
          <w:iCs/>
          <w:sz w:val="22"/>
          <w:szCs w:val="22"/>
        </w:rPr>
        <w:t>pp. 325,19-326,3)</w:t>
      </w:r>
      <w:r w:rsidR="009B5C0E" w:rsidRPr="00941D12">
        <w:rPr>
          <w:iCs/>
          <w:sz w:val="22"/>
          <w:szCs w:val="22"/>
        </w:rPr>
        <w:t xml:space="preserve">, </w:t>
      </w:r>
      <w:r w:rsidR="009B5C0E" w:rsidRPr="00941D12">
        <w:rPr>
          <w:sz w:val="22"/>
          <w:szCs w:val="22"/>
        </w:rPr>
        <w:t>«Bollettino dei Classici», III ser., 20, 1999, pp. 11-18</w:t>
      </w:r>
    </w:p>
    <w:p w14:paraId="1888B52C" w14:textId="77777777" w:rsidR="009B5C0E" w:rsidRPr="00941D12" w:rsidRDefault="00941D12" w:rsidP="00825421">
      <w:pPr>
        <w:autoSpaceDE w:val="0"/>
        <w:autoSpaceDN w:val="0"/>
        <w:adjustRightInd w:val="0"/>
        <w:jc w:val="both"/>
        <w:rPr>
          <w:sz w:val="22"/>
          <w:szCs w:val="22"/>
        </w:rPr>
      </w:pPr>
      <w:r>
        <w:rPr>
          <w:iCs/>
          <w:sz w:val="22"/>
          <w:szCs w:val="22"/>
        </w:rPr>
        <w:t xml:space="preserve">- </w:t>
      </w:r>
      <w:r w:rsidR="00825421" w:rsidRPr="00941D12">
        <w:rPr>
          <w:i/>
          <w:iCs/>
          <w:sz w:val="22"/>
          <w:szCs w:val="22"/>
        </w:rPr>
        <w:t>La biblioteca di Isocrate. Note sulla circolazione dei libri e sul lavoro intellettuale nel IV sec. a.C.</w:t>
      </w:r>
      <w:r w:rsidR="00825421" w:rsidRPr="00941D12">
        <w:rPr>
          <w:iCs/>
          <w:sz w:val="22"/>
          <w:szCs w:val="22"/>
        </w:rPr>
        <w:t xml:space="preserve">, </w:t>
      </w:r>
      <w:r w:rsidR="00825421" w:rsidRPr="00941D12">
        <w:rPr>
          <w:sz w:val="22"/>
          <w:szCs w:val="22"/>
        </w:rPr>
        <w:t>«Segno e Testo» 4, 2006, pp. 51-70</w:t>
      </w:r>
    </w:p>
    <w:p w14:paraId="4F9B28B5" w14:textId="77777777" w:rsidR="00825421" w:rsidRPr="00941D12" w:rsidRDefault="00941D12" w:rsidP="00825421">
      <w:pPr>
        <w:autoSpaceDE w:val="0"/>
        <w:autoSpaceDN w:val="0"/>
        <w:adjustRightInd w:val="0"/>
        <w:jc w:val="both"/>
        <w:rPr>
          <w:color w:val="000000"/>
          <w:sz w:val="22"/>
          <w:szCs w:val="22"/>
          <w:lang w:val="en-GB"/>
        </w:rPr>
      </w:pPr>
      <w:r w:rsidRPr="00941D12">
        <w:rPr>
          <w:iCs/>
          <w:sz w:val="22"/>
          <w:szCs w:val="22"/>
          <w:lang w:val="en-GB"/>
        </w:rPr>
        <w:t xml:space="preserve">- </w:t>
      </w:r>
      <w:proofErr w:type="spellStart"/>
      <w:proofErr w:type="gramStart"/>
      <w:r w:rsidR="00825421" w:rsidRPr="00941D12">
        <w:rPr>
          <w:i/>
          <w:iCs/>
          <w:sz w:val="22"/>
          <w:szCs w:val="22"/>
          <w:lang w:val="en-GB"/>
        </w:rPr>
        <w:t>P.Kellis</w:t>
      </w:r>
      <w:proofErr w:type="spellEnd"/>
      <w:proofErr w:type="gramEnd"/>
      <w:r w:rsidR="00825421" w:rsidRPr="00941D12">
        <w:rPr>
          <w:i/>
          <w:iCs/>
          <w:sz w:val="22"/>
          <w:szCs w:val="22"/>
          <w:lang w:val="en-GB"/>
        </w:rPr>
        <w:t xml:space="preserve"> III Gr. 95 and </w:t>
      </w:r>
      <w:proofErr w:type="spellStart"/>
      <w:r w:rsidR="00825421" w:rsidRPr="00941D12">
        <w:rPr>
          <w:i/>
          <w:iCs/>
          <w:sz w:val="22"/>
          <w:szCs w:val="22"/>
          <w:lang w:val="en-GB"/>
        </w:rPr>
        <w:t>Evagoras</w:t>
      </w:r>
      <w:proofErr w:type="spellEnd"/>
      <w:r w:rsidR="00825421" w:rsidRPr="00941D12">
        <w:rPr>
          <w:i/>
          <w:iCs/>
          <w:sz w:val="22"/>
          <w:szCs w:val="22"/>
          <w:lang w:val="en-GB"/>
        </w:rPr>
        <w:t xml:space="preserve"> I</w:t>
      </w:r>
      <w:r w:rsidR="00825421" w:rsidRPr="00941D12">
        <w:rPr>
          <w:iCs/>
          <w:sz w:val="22"/>
          <w:szCs w:val="22"/>
          <w:lang w:val="en-GB"/>
        </w:rPr>
        <w:t xml:space="preserve">, </w:t>
      </w:r>
      <w:r w:rsidR="00825421" w:rsidRPr="00941D12">
        <w:rPr>
          <w:sz w:val="22"/>
          <w:szCs w:val="22"/>
          <w:lang w:val="en-GB"/>
        </w:rPr>
        <w:t>«</w:t>
      </w:r>
      <w:proofErr w:type="spellStart"/>
      <w:r w:rsidR="00825421" w:rsidRPr="00941D12">
        <w:rPr>
          <w:sz w:val="22"/>
          <w:szCs w:val="22"/>
          <w:lang w:val="en-GB"/>
        </w:rPr>
        <w:t>Zeitschrift</w:t>
      </w:r>
      <w:proofErr w:type="spellEnd"/>
      <w:r w:rsidR="00825421" w:rsidRPr="00941D12">
        <w:rPr>
          <w:sz w:val="22"/>
          <w:szCs w:val="22"/>
          <w:lang w:val="en-GB"/>
        </w:rPr>
        <w:t xml:space="preserve"> für </w:t>
      </w:r>
      <w:proofErr w:type="spellStart"/>
      <w:r w:rsidR="00825421" w:rsidRPr="00941D12">
        <w:rPr>
          <w:sz w:val="22"/>
          <w:szCs w:val="22"/>
          <w:lang w:val="en-GB"/>
        </w:rPr>
        <w:t>Papyrologie</w:t>
      </w:r>
      <w:proofErr w:type="spellEnd"/>
      <w:r w:rsidR="00825421" w:rsidRPr="00941D12">
        <w:rPr>
          <w:sz w:val="22"/>
          <w:szCs w:val="22"/>
          <w:lang w:val="en-GB"/>
        </w:rPr>
        <w:t xml:space="preserve"> und </w:t>
      </w:r>
      <w:proofErr w:type="spellStart"/>
      <w:r w:rsidR="00825421" w:rsidRPr="00941D12">
        <w:rPr>
          <w:sz w:val="22"/>
          <w:szCs w:val="22"/>
          <w:lang w:val="en-GB"/>
        </w:rPr>
        <w:t>Epigraphik</w:t>
      </w:r>
      <w:proofErr w:type="spellEnd"/>
      <w:r w:rsidR="00825421" w:rsidRPr="00941D12">
        <w:rPr>
          <w:sz w:val="22"/>
          <w:szCs w:val="22"/>
          <w:lang w:val="en-GB"/>
        </w:rPr>
        <w:t xml:space="preserve">» 168, 2009, pp. 213-218 </w:t>
      </w:r>
    </w:p>
    <w:p w14:paraId="0E758BC9" w14:textId="77777777" w:rsidR="003670B4" w:rsidRPr="00941D12" w:rsidRDefault="00941D12" w:rsidP="00825421">
      <w:pPr>
        <w:autoSpaceDE w:val="0"/>
        <w:autoSpaceDN w:val="0"/>
        <w:adjustRightInd w:val="0"/>
        <w:jc w:val="both"/>
        <w:rPr>
          <w:color w:val="000000"/>
          <w:sz w:val="22"/>
          <w:szCs w:val="22"/>
        </w:rPr>
      </w:pPr>
      <w:r>
        <w:rPr>
          <w:iCs/>
          <w:sz w:val="22"/>
          <w:szCs w:val="22"/>
        </w:rPr>
        <w:t xml:space="preserve">- </w:t>
      </w:r>
      <w:r w:rsidR="00825421" w:rsidRPr="00941D12">
        <w:rPr>
          <w:i/>
          <w:iCs/>
          <w:sz w:val="22"/>
          <w:szCs w:val="22"/>
        </w:rPr>
        <w:t>Monumenti d’autore e storie di testi (Isocrate, Ennio, Orazio)</w:t>
      </w:r>
      <w:r w:rsidR="00825421" w:rsidRPr="00941D12">
        <w:rPr>
          <w:iCs/>
          <w:sz w:val="22"/>
          <w:szCs w:val="22"/>
        </w:rPr>
        <w:t xml:space="preserve">, </w:t>
      </w:r>
      <w:r w:rsidR="00825421" w:rsidRPr="00941D12">
        <w:rPr>
          <w:sz w:val="22"/>
          <w:szCs w:val="22"/>
        </w:rPr>
        <w:t>«Philologus» 154, 2010, pp. 25-39</w:t>
      </w:r>
    </w:p>
    <w:p w14:paraId="4E80644D" w14:textId="77777777" w:rsidR="003670B4" w:rsidRPr="00941D12" w:rsidRDefault="00941D12" w:rsidP="00825421">
      <w:pPr>
        <w:autoSpaceDE w:val="0"/>
        <w:autoSpaceDN w:val="0"/>
        <w:adjustRightInd w:val="0"/>
        <w:jc w:val="both"/>
        <w:rPr>
          <w:sz w:val="22"/>
          <w:szCs w:val="22"/>
        </w:rPr>
      </w:pPr>
      <w:r>
        <w:rPr>
          <w:iCs/>
          <w:sz w:val="22"/>
          <w:szCs w:val="22"/>
        </w:rPr>
        <w:t xml:space="preserve">- </w:t>
      </w:r>
      <w:r w:rsidR="00825421" w:rsidRPr="00941D12">
        <w:rPr>
          <w:i/>
          <w:iCs/>
          <w:sz w:val="22"/>
          <w:szCs w:val="22"/>
        </w:rPr>
        <w:t>Interpreti francesi di Isocrate: Clermont-Tonnerre</w:t>
      </w:r>
      <w:r w:rsidR="00825421" w:rsidRPr="00941D12">
        <w:rPr>
          <w:iCs/>
          <w:sz w:val="22"/>
          <w:szCs w:val="22"/>
        </w:rPr>
        <w:t xml:space="preserve">, </w:t>
      </w:r>
      <w:r w:rsidR="00825421" w:rsidRPr="00941D12">
        <w:rPr>
          <w:sz w:val="22"/>
          <w:szCs w:val="22"/>
        </w:rPr>
        <w:t>«Anabases» 12, 2010, pp. 208-215</w:t>
      </w:r>
    </w:p>
    <w:p w14:paraId="2E94C659" w14:textId="77777777" w:rsidR="00CA712B" w:rsidRPr="00941D12" w:rsidRDefault="00941D12" w:rsidP="00825421">
      <w:pPr>
        <w:autoSpaceDE w:val="0"/>
        <w:autoSpaceDN w:val="0"/>
        <w:adjustRightInd w:val="0"/>
        <w:jc w:val="both"/>
        <w:rPr>
          <w:sz w:val="22"/>
          <w:szCs w:val="22"/>
          <w:lang w:val="en-GB"/>
        </w:rPr>
      </w:pPr>
      <w:r w:rsidRPr="00941D12">
        <w:rPr>
          <w:iCs/>
          <w:sz w:val="22"/>
          <w:szCs w:val="22"/>
          <w:lang w:val="en-GB"/>
        </w:rPr>
        <w:t xml:space="preserve">- </w:t>
      </w:r>
      <w:proofErr w:type="spellStart"/>
      <w:r w:rsidR="00825421" w:rsidRPr="00941D12">
        <w:rPr>
          <w:i/>
          <w:iCs/>
          <w:sz w:val="22"/>
          <w:szCs w:val="22"/>
          <w:lang w:val="en-GB"/>
        </w:rPr>
        <w:t>Constantinos</w:t>
      </w:r>
      <w:proofErr w:type="spellEnd"/>
      <w:r w:rsidR="00825421" w:rsidRPr="00941D12">
        <w:rPr>
          <w:i/>
          <w:iCs/>
          <w:sz w:val="22"/>
          <w:szCs w:val="22"/>
          <w:lang w:val="en-GB"/>
        </w:rPr>
        <w:t xml:space="preserve"> </w:t>
      </w:r>
      <w:proofErr w:type="spellStart"/>
      <w:r w:rsidR="00825421" w:rsidRPr="00941D12">
        <w:rPr>
          <w:i/>
          <w:iCs/>
          <w:sz w:val="22"/>
          <w:szCs w:val="22"/>
          <w:lang w:val="en-GB"/>
        </w:rPr>
        <w:t>Simonidis</w:t>
      </w:r>
      <w:proofErr w:type="spellEnd"/>
      <w:r w:rsidR="00825421" w:rsidRPr="00941D12">
        <w:rPr>
          <w:i/>
          <w:iCs/>
          <w:sz w:val="22"/>
          <w:szCs w:val="22"/>
          <w:lang w:val="en-GB"/>
        </w:rPr>
        <w:t xml:space="preserve"> in the </w:t>
      </w:r>
      <w:proofErr w:type="spellStart"/>
      <w:r w:rsidR="00825421" w:rsidRPr="00941D12">
        <w:rPr>
          <w:i/>
          <w:iCs/>
          <w:sz w:val="22"/>
          <w:szCs w:val="22"/>
          <w:lang w:val="en-GB"/>
        </w:rPr>
        <w:t>Gennadius</w:t>
      </w:r>
      <w:proofErr w:type="spellEnd"/>
      <w:r w:rsidR="00825421" w:rsidRPr="00941D12">
        <w:rPr>
          <w:i/>
          <w:iCs/>
          <w:sz w:val="22"/>
          <w:szCs w:val="22"/>
          <w:lang w:val="en-GB"/>
        </w:rPr>
        <w:t xml:space="preserve"> Library</w:t>
      </w:r>
      <w:r w:rsidR="00825421" w:rsidRPr="00941D12">
        <w:rPr>
          <w:iCs/>
          <w:sz w:val="22"/>
          <w:szCs w:val="22"/>
          <w:lang w:val="en-GB"/>
        </w:rPr>
        <w:t xml:space="preserve">, </w:t>
      </w:r>
      <w:r w:rsidR="00825421" w:rsidRPr="00941D12">
        <w:rPr>
          <w:sz w:val="22"/>
          <w:szCs w:val="22"/>
          <w:lang w:val="en-GB"/>
        </w:rPr>
        <w:t>«The New Griffon» 12, 2011, pp. 85-102</w:t>
      </w:r>
    </w:p>
    <w:p w14:paraId="1C8A1F26" w14:textId="77777777" w:rsidR="00825421" w:rsidRPr="00941D12" w:rsidRDefault="00941D12" w:rsidP="00825421">
      <w:pPr>
        <w:autoSpaceDE w:val="0"/>
        <w:autoSpaceDN w:val="0"/>
        <w:adjustRightInd w:val="0"/>
        <w:jc w:val="both"/>
        <w:rPr>
          <w:sz w:val="22"/>
          <w:szCs w:val="22"/>
          <w:lang w:val="en-GB"/>
        </w:rPr>
      </w:pPr>
      <w:r w:rsidRPr="00941D12">
        <w:rPr>
          <w:iCs/>
          <w:sz w:val="22"/>
          <w:szCs w:val="22"/>
          <w:lang w:val="en-GB"/>
        </w:rPr>
        <w:t xml:space="preserve">- </w:t>
      </w:r>
      <w:r w:rsidR="00825421" w:rsidRPr="00941D12">
        <w:rPr>
          <w:i/>
          <w:iCs/>
          <w:sz w:val="22"/>
          <w:szCs w:val="22"/>
          <w:lang w:val="en-GB"/>
        </w:rPr>
        <w:t xml:space="preserve">The Title of Isocrates’ </w:t>
      </w:r>
      <w:proofErr w:type="spellStart"/>
      <w:r w:rsidR="00825421" w:rsidRPr="00941D12">
        <w:rPr>
          <w:i/>
          <w:iCs/>
          <w:sz w:val="22"/>
          <w:szCs w:val="22"/>
          <w:lang w:val="en-GB"/>
        </w:rPr>
        <w:t>Antidosis</w:t>
      </w:r>
      <w:proofErr w:type="spellEnd"/>
      <w:r w:rsidR="00825421" w:rsidRPr="00941D12">
        <w:rPr>
          <w:iCs/>
          <w:sz w:val="22"/>
          <w:szCs w:val="22"/>
          <w:lang w:val="en-GB"/>
        </w:rPr>
        <w:t xml:space="preserve">, </w:t>
      </w:r>
      <w:r w:rsidR="00825421" w:rsidRPr="00941D12">
        <w:rPr>
          <w:sz w:val="22"/>
          <w:szCs w:val="22"/>
          <w:lang w:val="en-GB"/>
        </w:rPr>
        <w:t>«Hermes» 140, 2012, pp. 362-368</w:t>
      </w:r>
    </w:p>
    <w:p w14:paraId="79D9ADF9" w14:textId="77777777" w:rsidR="00825421" w:rsidRPr="00941D12" w:rsidRDefault="00941D12" w:rsidP="00825421">
      <w:pPr>
        <w:autoSpaceDE w:val="0"/>
        <w:autoSpaceDN w:val="0"/>
        <w:adjustRightInd w:val="0"/>
        <w:jc w:val="both"/>
        <w:rPr>
          <w:sz w:val="22"/>
          <w:szCs w:val="22"/>
          <w:lang w:val="en-GB"/>
        </w:rPr>
      </w:pPr>
      <w:r w:rsidRPr="00941D12">
        <w:rPr>
          <w:iCs/>
          <w:sz w:val="22"/>
          <w:szCs w:val="22"/>
          <w:lang w:val="en-GB"/>
        </w:rPr>
        <w:t xml:space="preserve">- </w:t>
      </w:r>
      <w:r w:rsidR="00825421" w:rsidRPr="00941D12">
        <w:rPr>
          <w:i/>
          <w:iCs/>
          <w:sz w:val="22"/>
          <w:szCs w:val="22"/>
          <w:lang w:val="en-GB"/>
        </w:rPr>
        <w:t xml:space="preserve">An Unnoticed Quotation from Isocrates in Isidore of </w:t>
      </w:r>
      <w:proofErr w:type="spellStart"/>
      <w:r w:rsidR="00825421" w:rsidRPr="00941D12">
        <w:rPr>
          <w:i/>
          <w:iCs/>
          <w:sz w:val="22"/>
          <w:szCs w:val="22"/>
          <w:lang w:val="en-GB"/>
        </w:rPr>
        <w:t>Pelusium</w:t>
      </w:r>
      <w:proofErr w:type="spellEnd"/>
      <w:r w:rsidR="00825421" w:rsidRPr="00941D12">
        <w:rPr>
          <w:iCs/>
          <w:sz w:val="22"/>
          <w:szCs w:val="22"/>
          <w:lang w:val="en-GB"/>
        </w:rPr>
        <w:t xml:space="preserve">, </w:t>
      </w:r>
      <w:r w:rsidR="00825421" w:rsidRPr="00941D12">
        <w:rPr>
          <w:sz w:val="22"/>
          <w:szCs w:val="22"/>
          <w:lang w:val="en-GB"/>
        </w:rPr>
        <w:t>«Mnemosyne» 70, 2017, pp. 146-149</w:t>
      </w:r>
    </w:p>
    <w:p w14:paraId="2EF41A00" w14:textId="77777777" w:rsidR="00825421" w:rsidRPr="00941D12" w:rsidRDefault="00825421" w:rsidP="00825421">
      <w:pPr>
        <w:autoSpaceDE w:val="0"/>
        <w:autoSpaceDN w:val="0"/>
        <w:adjustRightInd w:val="0"/>
        <w:jc w:val="both"/>
        <w:rPr>
          <w:sz w:val="22"/>
          <w:szCs w:val="22"/>
          <w:lang w:val="en-GB"/>
        </w:rPr>
      </w:pPr>
      <w:r w:rsidRPr="00941D12">
        <w:rPr>
          <w:sz w:val="22"/>
          <w:szCs w:val="22"/>
          <w:lang w:val="en-GB"/>
        </w:rPr>
        <w:t>book chapters</w:t>
      </w:r>
    </w:p>
    <w:p w14:paraId="6596453E" w14:textId="77777777" w:rsidR="00825421" w:rsidRPr="00941D12" w:rsidRDefault="00941D12" w:rsidP="00825421">
      <w:pPr>
        <w:autoSpaceDE w:val="0"/>
        <w:autoSpaceDN w:val="0"/>
        <w:adjustRightInd w:val="0"/>
        <w:jc w:val="both"/>
        <w:rPr>
          <w:sz w:val="22"/>
          <w:szCs w:val="22"/>
          <w:lang w:val="en-GB"/>
        </w:rPr>
      </w:pPr>
      <w:r w:rsidRPr="00941D12">
        <w:rPr>
          <w:iCs/>
          <w:sz w:val="22"/>
          <w:szCs w:val="22"/>
          <w:lang w:val="en-GB"/>
        </w:rPr>
        <w:t xml:space="preserve">- </w:t>
      </w:r>
      <w:r w:rsidR="00825421" w:rsidRPr="00941D12">
        <w:rPr>
          <w:i/>
          <w:iCs/>
          <w:sz w:val="22"/>
          <w:szCs w:val="22"/>
          <w:lang w:val="en-GB"/>
        </w:rPr>
        <w:t>Harold Idris Bell</w:t>
      </w:r>
      <w:r w:rsidR="00825421" w:rsidRPr="00941D12">
        <w:rPr>
          <w:iCs/>
          <w:sz w:val="22"/>
          <w:szCs w:val="22"/>
          <w:lang w:val="en-GB"/>
        </w:rPr>
        <w:t xml:space="preserve">, </w:t>
      </w:r>
      <w:r w:rsidR="00825421" w:rsidRPr="00941D12">
        <w:rPr>
          <w:sz w:val="22"/>
          <w:szCs w:val="22"/>
          <w:lang w:val="en-GB"/>
        </w:rPr>
        <w:t xml:space="preserve">in: M. </w:t>
      </w:r>
      <w:proofErr w:type="spellStart"/>
      <w:r w:rsidR="00825421" w:rsidRPr="00941D12">
        <w:rPr>
          <w:sz w:val="22"/>
          <w:szCs w:val="22"/>
          <w:lang w:val="en-GB"/>
        </w:rPr>
        <w:t>Capasso</w:t>
      </w:r>
      <w:proofErr w:type="spellEnd"/>
      <w:r w:rsidR="00825421" w:rsidRPr="00941D12">
        <w:rPr>
          <w:sz w:val="22"/>
          <w:szCs w:val="22"/>
          <w:lang w:val="en-GB"/>
        </w:rPr>
        <w:t xml:space="preserve"> (ed.), </w:t>
      </w:r>
      <w:r w:rsidR="00825421" w:rsidRPr="00941D12">
        <w:rPr>
          <w:i/>
          <w:iCs/>
          <w:sz w:val="22"/>
          <w:szCs w:val="22"/>
          <w:lang w:val="en-GB"/>
        </w:rPr>
        <w:t>Hermae. Scholars and Scholarship in Papyrology</w:t>
      </w:r>
      <w:r w:rsidR="00825421" w:rsidRPr="00941D12">
        <w:rPr>
          <w:sz w:val="22"/>
          <w:szCs w:val="22"/>
          <w:lang w:val="en-GB"/>
        </w:rPr>
        <w:t>, II, Pisa-Roma 2010, pp. 31-35</w:t>
      </w:r>
    </w:p>
    <w:p w14:paraId="50EB5428" w14:textId="77777777" w:rsidR="00825421" w:rsidRPr="00941D12" w:rsidRDefault="00941D12" w:rsidP="00825421">
      <w:pPr>
        <w:autoSpaceDE w:val="0"/>
        <w:autoSpaceDN w:val="0"/>
        <w:adjustRightInd w:val="0"/>
        <w:jc w:val="both"/>
        <w:rPr>
          <w:sz w:val="22"/>
          <w:szCs w:val="22"/>
          <w:lang w:val="en-GB"/>
        </w:rPr>
      </w:pPr>
      <w:r w:rsidRPr="00941D12">
        <w:rPr>
          <w:iCs/>
          <w:sz w:val="22"/>
          <w:szCs w:val="22"/>
          <w:lang w:val="en-GB"/>
        </w:rPr>
        <w:t xml:space="preserve">- </w:t>
      </w:r>
      <w:r w:rsidR="00825421" w:rsidRPr="00941D12">
        <w:rPr>
          <w:i/>
          <w:iCs/>
          <w:sz w:val="22"/>
          <w:szCs w:val="22"/>
          <w:lang w:val="en-GB"/>
        </w:rPr>
        <w:t>Men and books in fourth-century BC Athens</w:t>
      </w:r>
      <w:r w:rsidR="00825421" w:rsidRPr="00941D12">
        <w:rPr>
          <w:iCs/>
          <w:sz w:val="22"/>
          <w:szCs w:val="22"/>
          <w:lang w:val="en-GB"/>
        </w:rPr>
        <w:t xml:space="preserve">, </w:t>
      </w:r>
      <w:r w:rsidR="00825421" w:rsidRPr="00941D12">
        <w:rPr>
          <w:sz w:val="22"/>
          <w:szCs w:val="22"/>
          <w:lang w:val="en-GB"/>
        </w:rPr>
        <w:t xml:space="preserve">in: J. König – K. </w:t>
      </w:r>
      <w:proofErr w:type="spellStart"/>
      <w:r w:rsidR="00825421" w:rsidRPr="00941D12">
        <w:rPr>
          <w:sz w:val="22"/>
          <w:szCs w:val="22"/>
          <w:lang w:val="en-GB"/>
        </w:rPr>
        <w:t>Oikonomopoulou</w:t>
      </w:r>
      <w:proofErr w:type="spellEnd"/>
      <w:r w:rsidR="00825421" w:rsidRPr="00941D12">
        <w:rPr>
          <w:sz w:val="22"/>
          <w:szCs w:val="22"/>
          <w:lang w:val="en-GB"/>
        </w:rPr>
        <w:t xml:space="preserve"> – G. Woolf (eds.), </w:t>
      </w:r>
      <w:r w:rsidR="00825421" w:rsidRPr="00941D12">
        <w:rPr>
          <w:i/>
          <w:iCs/>
          <w:sz w:val="22"/>
          <w:szCs w:val="22"/>
          <w:lang w:val="en-GB"/>
        </w:rPr>
        <w:t xml:space="preserve">Ancient </w:t>
      </w:r>
      <w:r w:rsidRPr="00941D12">
        <w:rPr>
          <w:iCs/>
          <w:sz w:val="22"/>
          <w:szCs w:val="22"/>
          <w:lang w:val="en-GB"/>
        </w:rPr>
        <w:t xml:space="preserve">- </w:t>
      </w:r>
      <w:r w:rsidR="00825421" w:rsidRPr="00941D12">
        <w:rPr>
          <w:i/>
          <w:iCs/>
          <w:sz w:val="22"/>
          <w:szCs w:val="22"/>
          <w:lang w:val="en-GB"/>
        </w:rPr>
        <w:t>Libraries</w:t>
      </w:r>
      <w:r w:rsidR="00825421" w:rsidRPr="00941D12">
        <w:rPr>
          <w:sz w:val="22"/>
          <w:szCs w:val="22"/>
          <w:lang w:val="en-GB"/>
        </w:rPr>
        <w:t>, Cambridge 2013, pp. 85-95</w:t>
      </w:r>
    </w:p>
    <w:p w14:paraId="6F086D4D" w14:textId="77777777" w:rsidR="00825421" w:rsidRPr="00941D12" w:rsidRDefault="00941D12" w:rsidP="00825421">
      <w:pPr>
        <w:autoSpaceDE w:val="0"/>
        <w:autoSpaceDN w:val="0"/>
        <w:adjustRightInd w:val="0"/>
        <w:jc w:val="both"/>
        <w:rPr>
          <w:sz w:val="22"/>
          <w:szCs w:val="22"/>
        </w:rPr>
      </w:pPr>
      <w:r>
        <w:rPr>
          <w:iCs/>
          <w:sz w:val="22"/>
          <w:szCs w:val="22"/>
        </w:rPr>
        <w:t xml:space="preserve">- </w:t>
      </w:r>
      <w:r w:rsidR="00825421" w:rsidRPr="00941D12">
        <w:rPr>
          <w:i/>
          <w:iCs/>
          <w:sz w:val="22"/>
          <w:szCs w:val="22"/>
        </w:rPr>
        <w:t>L’école d’Isocrate: un bilan</w:t>
      </w:r>
      <w:r w:rsidR="00825421" w:rsidRPr="00941D12">
        <w:rPr>
          <w:iCs/>
          <w:sz w:val="22"/>
          <w:szCs w:val="22"/>
        </w:rPr>
        <w:t xml:space="preserve">, in </w:t>
      </w:r>
      <w:r w:rsidR="00825421" w:rsidRPr="00941D12">
        <w:rPr>
          <w:sz w:val="22"/>
          <w:szCs w:val="22"/>
        </w:rPr>
        <w:t xml:space="preserve">in: C. Bouchet – P. Giovannelli Jouanna (éd.), </w:t>
      </w:r>
      <w:r w:rsidR="00825421" w:rsidRPr="00941D12">
        <w:rPr>
          <w:i/>
          <w:iCs/>
          <w:sz w:val="22"/>
          <w:szCs w:val="22"/>
        </w:rPr>
        <w:t>Isocrate : entre jeu rhétorique et enjeux politiques</w:t>
      </w:r>
      <w:r w:rsidR="00825421" w:rsidRPr="00941D12">
        <w:rPr>
          <w:sz w:val="22"/>
          <w:szCs w:val="22"/>
        </w:rPr>
        <w:t>, Lyon 2015, pp. 319-329</w:t>
      </w:r>
    </w:p>
    <w:p w14:paraId="31561CF5" w14:textId="77777777" w:rsidR="00825421" w:rsidRPr="00941D12" w:rsidRDefault="00941D12" w:rsidP="00825421">
      <w:pPr>
        <w:autoSpaceDE w:val="0"/>
        <w:autoSpaceDN w:val="0"/>
        <w:adjustRightInd w:val="0"/>
        <w:jc w:val="both"/>
        <w:rPr>
          <w:sz w:val="22"/>
          <w:szCs w:val="22"/>
        </w:rPr>
      </w:pPr>
      <w:r w:rsidRPr="00941D12">
        <w:rPr>
          <w:iCs/>
          <w:sz w:val="22"/>
          <w:szCs w:val="22"/>
          <w:lang w:val="en-GB"/>
        </w:rPr>
        <w:t xml:space="preserve">- </w:t>
      </w:r>
      <w:r w:rsidR="00825421" w:rsidRPr="00941D12">
        <w:rPr>
          <w:i/>
          <w:sz w:val="22"/>
          <w:szCs w:val="22"/>
          <w:lang w:val="en-GB"/>
        </w:rPr>
        <w:t>Simonides in England: A Forger's Progress</w:t>
      </w:r>
      <w:r w:rsidR="00825421" w:rsidRPr="00941D12">
        <w:rPr>
          <w:sz w:val="22"/>
          <w:szCs w:val="22"/>
          <w:lang w:val="en-GB"/>
        </w:rPr>
        <w:t xml:space="preserve">, in: A.E. Müller - L. </w:t>
      </w:r>
      <w:proofErr w:type="spellStart"/>
      <w:r w:rsidR="00825421" w:rsidRPr="00941D12">
        <w:rPr>
          <w:sz w:val="22"/>
          <w:szCs w:val="22"/>
          <w:lang w:val="en-GB"/>
        </w:rPr>
        <w:t>Diamantopoulou</w:t>
      </w:r>
      <w:proofErr w:type="spellEnd"/>
      <w:r w:rsidR="00825421" w:rsidRPr="00941D12">
        <w:rPr>
          <w:sz w:val="22"/>
          <w:szCs w:val="22"/>
          <w:lang w:val="en-GB"/>
        </w:rPr>
        <w:t xml:space="preserve"> - C. </w:t>
      </w:r>
      <w:proofErr w:type="spellStart"/>
      <w:r w:rsidR="00825421" w:rsidRPr="00941D12">
        <w:rPr>
          <w:sz w:val="22"/>
          <w:szCs w:val="22"/>
          <w:lang w:val="en-GB"/>
        </w:rPr>
        <w:t>Gastgeber</w:t>
      </w:r>
      <w:proofErr w:type="spellEnd"/>
      <w:r w:rsidR="00825421" w:rsidRPr="00941D12">
        <w:rPr>
          <w:sz w:val="22"/>
          <w:szCs w:val="22"/>
          <w:lang w:val="en-GB"/>
        </w:rPr>
        <w:t xml:space="preserve"> - A. </w:t>
      </w:r>
      <w:proofErr w:type="spellStart"/>
      <w:r w:rsidR="00825421" w:rsidRPr="00941D12">
        <w:rPr>
          <w:sz w:val="22"/>
          <w:szCs w:val="22"/>
          <w:lang w:val="en-GB"/>
        </w:rPr>
        <w:t>Katsiakiori-Rankl</w:t>
      </w:r>
      <w:proofErr w:type="spellEnd"/>
      <w:r w:rsidR="00825421" w:rsidRPr="00941D12">
        <w:rPr>
          <w:sz w:val="22"/>
          <w:szCs w:val="22"/>
          <w:lang w:val="en-GB"/>
        </w:rPr>
        <w:t xml:space="preserve"> (a c. di), </w:t>
      </w:r>
      <w:r w:rsidR="00825421" w:rsidRPr="00941D12">
        <w:rPr>
          <w:i/>
          <w:sz w:val="22"/>
          <w:szCs w:val="22"/>
          <w:lang w:val="en-GB"/>
        </w:rPr>
        <w:t xml:space="preserve">Die </w:t>
      </w:r>
      <w:proofErr w:type="spellStart"/>
      <w:r w:rsidR="00825421" w:rsidRPr="00941D12">
        <w:rPr>
          <w:i/>
          <w:sz w:val="22"/>
          <w:szCs w:val="22"/>
          <w:lang w:val="en-GB"/>
        </w:rPr>
        <w:t>getäuschte</w:t>
      </w:r>
      <w:proofErr w:type="spellEnd"/>
      <w:r w:rsidR="00825421" w:rsidRPr="00941D12">
        <w:rPr>
          <w:i/>
          <w:sz w:val="22"/>
          <w:szCs w:val="22"/>
          <w:lang w:val="en-GB"/>
        </w:rPr>
        <w:t xml:space="preserve"> </w:t>
      </w:r>
      <w:proofErr w:type="spellStart"/>
      <w:r w:rsidR="00825421" w:rsidRPr="00941D12">
        <w:rPr>
          <w:i/>
          <w:sz w:val="22"/>
          <w:szCs w:val="22"/>
          <w:lang w:val="en-GB"/>
        </w:rPr>
        <w:t>Wissenschaft</w:t>
      </w:r>
      <w:proofErr w:type="spellEnd"/>
      <w:r w:rsidR="00825421" w:rsidRPr="00941D12">
        <w:rPr>
          <w:i/>
          <w:sz w:val="22"/>
          <w:szCs w:val="22"/>
          <w:lang w:val="en-GB"/>
        </w:rPr>
        <w:t xml:space="preserve">. </w:t>
      </w:r>
      <w:r w:rsidR="00825421" w:rsidRPr="00941D12">
        <w:rPr>
          <w:i/>
          <w:sz w:val="22"/>
          <w:szCs w:val="22"/>
        </w:rPr>
        <w:t>Ein Genie betrügt Europa – Konstantinos Simonides</w:t>
      </w:r>
      <w:r w:rsidR="00825421" w:rsidRPr="00941D12">
        <w:rPr>
          <w:sz w:val="22"/>
          <w:szCs w:val="22"/>
        </w:rPr>
        <w:t xml:space="preserve">, </w:t>
      </w:r>
      <w:r w:rsidRPr="00941D12">
        <w:rPr>
          <w:sz w:val="22"/>
          <w:szCs w:val="22"/>
        </w:rPr>
        <w:t>Göttingen</w:t>
      </w:r>
      <w:r w:rsidR="00825421" w:rsidRPr="00941D12">
        <w:rPr>
          <w:sz w:val="22"/>
          <w:szCs w:val="22"/>
        </w:rPr>
        <w:t xml:space="preserve"> 2017, pp. 109-126</w:t>
      </w:r>
    </w:p>
    <w:p w14:paraId="4FA1B1C1" w14:textId="77777777" w:rsidR="00825421" w:rsidRPr="00941D12" w:rsidRDefault="00941D12" w:rsidP="00825421">
      <w:pPr>
        <w:autoSpaceDE w:val="0"/>
        <w:autoSpaceDN w:val="0"/>
        <w:adjustRightInd w:val="0"/>
        <w:jc w:val="both"/>
        <w:rPr>
          <w:sz w:val="22"/>
          <w:szCs w:val="22"/>
        </w:rPr>
      </w:pPr>
      <w:r>
        <w:rPr>
          <w:iCs/>
          <w:sz w:val="22"/>
          <w:szCs w:val="22"/>
        </w:rPr>
        <w:t xml:space="preserve">- </w:t>
      </w:r>
      <w:r w:rsidR="00825421" w:rsidRPr="00941D12">
        <w:rPr>
          <w:i/>
          <w:sz w:val="22"/>
          <w:szCs w:val="22"/>
        </w:rPr>
        <w:t>La composizione letteraria antica agli occhi dei Bizantini: Giovanni Tzetze e Michele Coniata</w:t>
      </w:r>
      <w:r w:rsidR="00825421" w:rsidRPr="00941D12">
        <w:rPr>
          <w:sz w:val="22"/>
          <w:szCs w:val="22"/>
        </w:rPr>
        <w:t xml:space="preserve">, in: R. Otranto </w:t>
      </w:r>
      <w:r w:rsidR="0033062E" w:rsidRPr="00941D12">
        <w:rPr>
          <w:sz w:val="22"/>
          <w:szCs w:val="22"/>
        </w:rPr>
        <w:t>and</w:t>
      </w:r>
      <w:r w:rsidR="00825421" w:rsidRPr="00941D12">
        <w:rPr>
          <w:sz w:val="22"/>
          <w:szCs w:val="22"/>
        </w:rPr>
        <w:t xml:space="preserve"> P.M. Pinto (a c. di), </w:t>
      </w:r>
      <w:r w:rsidR="00825421" w:rsidRPr="00941D12">
        <w:rPr>
          <w:i/>
          <w:sz w:val="22"/>
          <w:szCs w:val="22"/>
        </w:rPr>
        <w:t>Storie di testi e tradizione classica per Luciano Canfora</w:t>
      </w:r>
      <w:r w:rsidR="00825421" w:rsidRPr="00941D12">
        <w:rPr>
          <w:sz w:val="22"/>
          <w:szCs w:val="22"/>
        </w:rPr>
        <w:t>, Roma 2018, pp. 187-202</w:t>
      </w:r>
    </w:p>
    <w:p w14:paraId="092D0F49" w14:textId="77777777" w:rsidR="0033062E" w:rsidRPr="00941D12" w:rsidRDefault="00941D12" w:rsidP="0033062E">
      <w:pPr>
        <w:autoSpaceDE w:val="0"/>
        <w:autoSpaceDN w:val="0"/>
        <w:adjustRightInd w:val="0"/>
        <w:jc w:val="both"/>
        <w:rPr>
          <w:sz w:val="22"/>
          <w:szCs w:val="22"/>
          <w:shd w:val="clear" w:color="auto" w:fill="FFFFFF"/>
          <w:lang w:val="en-GB"/>
        </w:rPr>
      </w:pPr>
      <w:r w:rsidRPr="00941D12">
        <w:rPr>
          <w:iCs/>
          <w:sz w:val="22"/>
          <w:szCs w:val="22"/>
          <w:lang w:val="en-GB"/>
        </w:rPr>
        <w:t xml:space="preserve">- </w:t>
      </w:r>
      <w:r w:rsidR="0033062E" w:rsidRPr="00941D12">
        <w:rPr>
          <w:i/>
          <w:sz w:val="22"/>
          <w:szCs w:val="22"/>
          <w:lang w:val="en-GB"/>
        </w:rPr>
        <w:t xml:space="preserve">Self-Quotations as Witnesses and Evidence: The Case of Isocrates’ </w:t>
      </w:r>
      <w:proofErr w:type="spellStart"/>
      <w:r w:rsidR="0033062E" w:rsidRPr="00941D12">
        <w:rPr>
          <w:sz w:val="22"/>
          <w:szCs w:val="22"/>
          <w:lang w:val="en-GB"/>
        </w:rPr>
        <w:t>Antidosis</w:t>
      </w:r>
      <w:proofErr w:type="spellEnd"/>
      <w:r w:rsidR="0033062E" w:rsidRPr="00941D12">
        <w:rPr>
          <w:sz w:val="22"/>
          <w:szCs w:val="22"/>
          <w:lang w:val="en-GB"/>
        </w:rPr>
        <w:t xml:space="preserve">, in:  </w:t>
      </w:r>
      <w:r w:rsidR="0033062E" w:rsidRPr="00941D12">
        <w:rPr>
          <w:sz w:val="22"/>
          <w:szCs w:val="22"/>
          <w:shd w:val="clear" w:color="auto" w:fill="FFFFFF"/>
          <w:lang w:val="en-GB"/>
        </w:rPr>
        <w:t xml:space="preserve">A. </w:t>
      </w:r>
      <w:proofErr w:type="spellStart"/>
      <w:r w:rsidR="0033062E" w:rsidRPr="00941D12">
        <w:rPr>
          <w:sz w:val="22"/>
          <w:szCs w:val="22"/>
          <w:shd w:val="clear" w:color="auto" w:fill="FFFFFF"/>
          <w:lang w:val="en-GB"/>
        </w:rPr>
        <w:t>Markantonatos</w:t>
      </w:r>
      <w:proofErr w:type="spellEnd"/>
      <w:r w:rsidR="0033062E" w:rsidRPr="00941D12">
        <w:rPr>
          <w:sz w:val="22"/>
          <w:szCs w:val="22"/>
          <w:shd w:val="clear" w:color="auto" w:fill="FFFFFF"/>
          <w:lang w:val="en-GB"/>
        </w:rPr>
        <w:t xml:space="preserve"> - V. </w:t>
      </w:r>
      <w:proofErr w:type="spellStart"/>
      <w:r w:rsidR="0033062E" w:rsidRPr="00941D12">
        <w:rPr>
          <w:sz w:val="22"/>
          <w:szCs w:val="22"/>
          <w:shd w:val="clear" w:color="auto" w:fill="FFFFFF"/>
          <w:lang w:val="en-GB"/>
        </w:rPr>
        <w:t>Liotsakis</w:t>
      </w:r>
      <w:proofErr w:type="spellEnd"/>
      <w:r w:rsidR="0033062E" w:rsidRPr="00941D12">
        <w:rPr>
          <w:sz w:val="22"/>
          <w:szCs w:val="22"/>
          <w:shd w:val="clear" w:color="auto" w:fill="FFFFFF"/>
          <w:lang w:val="en-GB"/>
        </w:rPr>
        <w:t xml:space="preserve"> - A. Serafim (eds.), </w:t>
      </w:r>
      <w:r w:rsidR="0033062E" w:rsidRPr="00941D12">
        <w:rPr>
          <w:i/>
          <w:sz w:val="22"/>
          <w:szCs w:val="22"/>
          <w:shd w:val="clear" w:color="auto" w:fill="FFFFFF"/>
          <w:lang w:val="en-GB"/>
        </w:rPr>
        <w:t>Witnesses and Evidence in Ancient Greek Literature</w:t>
      </w:r>
      <w:r w:rsidR="0033062E" w:rsidRPr="00941D12">
        <w:rPr>
          <w:sz w:val="22"/>
          <w:szCs w:val="22"/>
          <w:shd w:val="clear" w:color="auto" w:fill="FFFFFF"/>
          <w:lang w:val="en-GB"/>
        </w:rPr>
        <w:t>, Berlin – Boston, 2022, pp. 97-112</w:t>
      </w:r>
    </w:p>
    <w:p w14:paraId="20B012A7" w14:textId="77777777" w:rsidR="0033062E" w:rsidRPr="00941D12" w:rsidRDefault="00941D12" w:rsidP="0033062E">
      <w:pPr>
        <w:autoSpaceDE w:val="0"/>
        <w:autoSpaceDN w:val="0"/>
        <w:adjustRightInd w:val="0"/>
        <w:jc w:val="both"/>
        <w:rPr>
          <w:sz w:val="22"/>
          <w:szCs w:val="22"/>
          <w:shd w:val="clear" w:color="auto" w:fill="FFFFFF"/>
          <w:lang w:val="en-GB"/>
        </w:rPr>
      </w:pPr>
      <w:r w:rsidRPr="00941D12">
        <w:rPr>
          <w:iCs/>
          <w:sz w:val="22"/>
          <w:szCs w:val="22"/>
          <w:lang w:val="en-GB"/>
        </w:rPr>
        <w:t xml:space="preserve">- </w:t>
      </w:r>
      <w:r w:rsidR="0033062E" w:rsidRPr="00941D12">
        <w:rPr>
          <w:i/>
          <w:sz w:val="22"/>
          <w:szCs w:val="22"/>
          <w:lang w:val="en-GB"/>
        </w:rPr>
        <w:t>New Antiquities: The Papyri</w:t>
      </w:r>
      <w:r w:rsidR="0033062E" w:rsidRPr="00941D12">
        <w:rPr>
          <w:sz w:val="22"/>
          <w:szCs w:val="22"/>
          <w:lang w:val="en-GB"/>
        </w:rPr>
        <w:t xml:space="preserve">, in: </w:t>
      </w:r>
      <w:r w:rsidR="0033062E" w:rsidRPr="00941D12">
        <w:rPr>
          <w:sz w:val="22"/>
          <w:szCs w:val="22"/>
          <w:shd w:val="clear" w:color="auto" w:fill="FFFFFF"/>
          <w:lang w:val="en-GB"/>
        </w:rPr>
        <w:t xml:space="preserve">G. </w:t>
      </w:r>
      <w:proofErr w:type="spellStart"/>
      <w:r w:rsidR="0033062E" w:rsidRPr="00941D12">
        <w:rPr>
          <w:sz w:val="22"/>
          <w:szCs w:val="22"/>
          <w:shd w:val="clear" w:color="auto" w:fill="FFFFFF"/>
          <w:lang w:val="en-GB"/>
        </w:rPr>
        <w:t>Ugolini</w:t>
      </w:r>
      <w:proofErr w:type="spellEnd"/>
      <w:r w:rsidR="0033062E" w:rsidRPr="00941D12">
        <w:rPr>
          <w:sz w:val="22"/>
          <w:szCs w:val="22"/>
          <w:shd w:val="clear" w:color="auto" w:fill="FFFFFF"/>
          <w:lang w:val="en-GB"/>
        </w:rPr>
        <w:t xml:space="preserve"> - </w:t>
      </w:r>
      <w:proofErr w:type="spellStart"/>
      <w:proofErr w:type="gramStart"/>
      <w:r w:rsidR="0033062E" w:rsidRPr="00941D12">
        <w:rPr>
          <w:sz w:val="22"/>
          <w:szCs w:val="22"/>
          <w:shd w:val="clear" w:color="auto" w:fill="FFFFFF"/>
          <w:lang w:val="en-GB"/>
        </w:rPr>
        <w:t>D.Lanza</w:t>
      </w:r>
      <w:proofErr w:type="spellEnd"/>
      <w:proofErr w:type="gramEnd"/>
      <w:r w:rsidR="0033062E" w:rsidRPr="00941D12">
        <w:rPr>
          <w:sz w:val="22"/>
          <w:szCs w:val="22"/>
          <w:shd w:val="clear" w:color="auto" w:fill="FFFFFF"/>
          <w:lang w:val="en-GB"/>
        </w:rPr>
        <w:t xml:space="preserve"> (eds.), </w:t>
      </w:r>
      <w:r w:rsidR="0033062E" w:rsidRPr="00941D12">
        <w:rPr>
          <w:i/>
          <w:sz w:val="22"/>
          <w:szCs w:val="22"/>
          <w:shd w:val="clear" w:color="auto" w:fill="FFFFFF"/>
          <w:lang w:val="en-GB"/>
        </w:rPr>
        <w:t>History of Classical Philology. From Bentley to the 20th century</w:t>
      </w:r>
      <w:r w:rsidR="0033062E" w:rsidRPr="00941D12">
        <w:rPr>
          <w:sz w:val="22"/>
          <w:szCs w:val="22"/>
          <w:shd w:val="clear" w:color="auto" w:fill="FFFFFF"/>
          <w:lang w:val="en-GB"/>
        </w:rPr>
        <w:t>, Berlin – Boston 2022, pp. 277-297</w:t>
      </w:r>
    </w:p>
    <w:p w14:paraId="1DC84DD0" w14:textId="77777777" w:rsidR="0033062E" w:rsidRPr="00941D12" w:rsidRDefault="0033062E" w:rsidP="0033062E">
      <w:pPr>
        <w:autoSpaceDE w:val="0"/>
        <w:autoSpaceDN w:val="0"/>
        <w:adjustRightInd w:val="0"/>
        <w:jc w:val="both"/>
        <w:rPr>
          <w:sz w:val="22"/>
          <w:szCs w:val="22"/>
          <w:shd w:val="clear" w:color="auto" w:fill="FFFFFF"/>
          <w:lang w:val="en-GB"/>
        </w:rPr>
      </w:pPr>
      <w:r w:rsidRPr="00941D12">
        <w:rPr>
          <w:sz w:val="22"/>
          <w:szCs w:val="22"/>
          <w:u w:val="single"/>
          <w:shd w:val="clear" w:color="auto" w:fill="FFFFFF"/>
          <w:lang w:val="en-GB"/>
        </w:rPr>
        <w:t>annotated translation</w:t>
      </w:r>
      <w:r w:rsidRPr="00941D12">
        <w:rPr>
          <w:sz w:val="22"/>
          <w:szCs w:val="22"/>
          <w:shd w:val="clear" w:color="auto" w:fill="FFFFFF"/>
          <w:lang w:val="en-GB"/>
        </w:rPr>
        <w:t xml:space="preserve">s </w:t>
      </w:r>
    </w:p>
    <w:p w14:paraId="285DE06F" w14:textId="77777777" w:rsidR="0033062E" w:rsidRPr="00941D12" w:rsidRDefault="00941D12" w:rsidP="0033062E">
      <w:pPr>
        <w:autoSpaceDE w:val="0"/>
        <w:autoSpaceDN w:val="0"/>
        <w:adjustRightInd w:val="0"/>
        <w:jc w:val="both"/>
        <w:rPr>
          <w:sz w:val="22"/>
          <w:szCs w:val="22"/>
        </w:rPr>
      </w:pPr>
      <w:r>
        <w:rPr>
          <w:iCs/>
          <w:sz w:val="22"/>
          <w:szCs w:val="22"/>
        </w:rPr>
        <w:t xml:space="preserve">- </w:t>
      </w:r>
      <w:r w:rsidR="0033062E" w:rsidRPr="00941D12">
        <w:rPr>
          <w:sz w:val="22"/>
          <w:szCs w:val="22"/>
        </w:rPr>
        <w:t xml:space="preserve">Demostene, </w:t>
      </w:r>
      <w:r w:rsidR="0033062E" w:rsidRPr="00941D12">
        <w:rPr>
          <w:i/>
          <w:iCs/>
          <w:sz w:val="22"/>
          <w:szCs w:val="22"/>
        </w:rPr>
        <w:t>Contro Androzione. Contro Timocrate</w:t>
      </w:r>
      <w:r w:rsidR="0033062E" w:rsidRPr="00941D12">
        <w:rPr>
          <w:iCs/>
          <w:sz w:val="22"/>
          <w:szCs w:val="22"/>
        </w:rPr>
        <w:t xml:space="preserve">, </w:t>
      </w:r>
      <w:r w:rsidR="0033062E" w:rsidRPr="00941D12">
        <w:rPr>
          <w:sz w:val="22"/>
          <w:szCs w:val="22"/>
        </w:rPr>
        <w:t xml:space="preserve">in: L. Canfora (a c. di), </w:t>
      </w:r>
      <w:r w:rsidR="0033062E" w:rsidRPr="00941D12">
        <w:rPr>
          <w:i/>
          <w:iCs/>
          <w:sz w:val="22"/>
          <w:szCs w:val="22"/>
        </w:rPr>
        <w:t>Discorsi e lettere di Demostene</w:t>
      </w:r>
      <w:r w:rsidR="0033062E" w:rsidRPr="00941D12">
        <w:rPr>
          <w:sz w:val="22"/>
          <w:szCs w:val="22"/>
        </w:rPr>
        <w:t xml:space="preserve">. II. </w:t>
      </w:r>
      <w:r w:rsidR="0033062E" w:rsidRPr="00941D12">
        <w:rPr>
          <w:i/>
          <w:iCs/>
          <w:sz w:val="22"/>
          <w:szCs w:val="22"/>
        </w:rPr>
        <w:t>Discorsi in tribunale</w:t>
      </w:r>
      <w:r w:rsidR="0033062E" w:rsidRPr="00941D12">
        <w:rPr>
          <w:sz w:val="22"/>
          <w:szCs w:val="22"/>
        </w:rPr>
        <w:t>, Torino 2000, pp. 145-197, 323-435.</w:t>
      </w:r>
    </w:p>
    <w:p w14:paraId="3477BAD2" w14:textId="77777777" w:rsidR="0033062E" w:rsidRPr="00941D12" w:rsidRDefault="00941D12" w:rsidP="0033062E">
      <w:pPr>
        <w:autoSpaceDE w:val="0"/>
        <w:autoSpaceDN w:val="0"/>
        <w:adjustRightInd w:val="0"/>
        <w:jc w:val="both"/>
        <w:rPr>
          <w:sz w:val="22"/>
          <w:szCs w:val="22"/>
        </w:rPr>
      </w:pPr>
      <w:r>
        <w:rPr>
          <w:iCs/>
          <w:sz w:val="22"/>
          <w:szCs w:val="22"/>
        </w:rPr>
        <w:t xml:space="preserve">- </w:t>
      </w:r>
      <w:r w:rsidR="0033062E" w:rsidRPr="00941D12">
        <w:rPr>
          <w:sz w:val="22"/>
          <w:szCs w:val="22"/>
        </w:rPr>
        <w:t xml:space="preserve">Fozio, </w:t>
      </w:r>
      <w:r w:rsidR="0033062E" w:rsidRPr="00941D12">
        <w:rPr>
          <w:i/>
          <w:sz w:val="22"/>
          <w:szCs w:val="22"/>
        </w:rPr>
        <w:t>Biblioteca</w:t>
      </w:r>
      <w:r w:rsidR="0033062E" w:rsidRPr="00941D12">
        <w:rPr>
          <w:sz w:val="22"/>
          <w:szCs w:val="22"/>
        </w:rPr>
        <w:t xml:space="preserve">, capitoli </w:t>
      </w:r>
      <w:r w:rsidR="0033062E" w:rsidRPr="00941D12">
        <w:rPr>
          <w:i/>
          <w:sz w:val="22"/>
          <w:szCs w:val="22"/>
        </w:rPr>
        <w:t>61</w:t>
      </w:r>
      <w:r w:rsidR="0033062E" w:rsidRPr="00941D12">
        <w:rPr>
          <w:sz w:val="22"/>
          <w:szCs w:val="22"/>
        </w:rPr>
        <w:t xml:space="preserve"> (Eschine), </w:t>
      </w:r>
      <w:r w:rsidR="0033062E" w:rsidRPr="00941D12">
        <w:rPr>
          <w:i/>
          <w:sz w:val="22"/>
          <w:szCs w:val="22"/>
        </w:rPr>
        <w:t>68</w:t>
      </w:r>
      <w:r w:rsidR="0033062E" w:rsidRPr="00941D12">
        <w:rPr>
          <w:sz w:val="22"/>
          <w:szCs w:val="22"/>
        </w:rPr>
        <w:t xml:space="preserve"> (Cefalione), </w:t>
      </w:r>
      <w:r w:rsidR="0033062E" w:rsidRPr="00941D12">
        <w:rPr>
          <w:i/>
          <w:sz w:val="22"/>
          <w:szCs w:val="22"/>
        </w:rPr>
        <w:t>159</w:t>
      </w:r>
      <w:r w:rsidR="0033062E" w:rsidRPr="00941D12">
        <w:rPr>
          <w:sz w:val="22"/>
          <w:szCs w:val="22"/>
        </w:rPr>
        <w:t xml:space="preserve"> (Isocrate), </w:t>
      </w:r>
      <w:r w:rsidR="0033062E" w:rsidRPr="00941D12">
        <w:rPr>
          <w:i/>
          <w:sz w:val="22"/>
          <w:szCs w:val="22"/>
        </w:rPr>
        <w:t>259</w:t>
      </w:r>
      <w:r w:rsidR="0033062E" w:rsidRPr="00941D12">
        <w:rPr>
          <w:sz w:val="22"/>
          <w:szCs w:val="22"/>
        </w:rPr>
        <w:t xml:space="preserve"> (Antifonte), </w:t>
      </w:r>
      <w:r w:rsidR="0033062E" w:rsidRPr="00941D12">
        <w:rPr>
          <w:i/>
          <w:sz w:val="22"/>
          <w:szCs w:val="22"/>
        </w:rPr>
        <w:t>260</w:t>
      </w:r>
      <w:r w:rsidR="0033062E" w:rsidRPr="00941D12">
        <w:rPr>
          <w:sz w:val="22"/>
          <w:szCs w:val="22"/>
        </w:rPr>
        <w:t xml:space="preserve"> (Isocrate), </w:t>
      </w:r>
      <w:r w:rsidR="0033062E" w:rsidRPr="00941D12">
        <w:rPr>
          <w:i/>
          <w:sz w:val="22"/>
          <w:szCs w:val="22"/>
        </w:rPr>
        <w:t>261</w:t>
      </w:r>
      <w:r w:rsidR="0033062E" w:rsidRPr="00941D12">
        <w:rPr>
          <w:sz w:val="22"/>
          <w:szCs w:val="22"/>
        </w:rPr>
        <w:t xml:space="preserve"> (Andocide), </w:t>
      </w:r>
      <w:r w:rsidR="0033062E" w:rsidRPr="00941D12">
        <w:rPr>
          <w:i/>
          <w:sz w:val="22"/>
          <w:szCs w:val="22"/>
        </w:rPr>
        <w:t>262</w:t>
      </w:r>
      <w:r w:rsidR="0033062E" w:rsidRPr="00941D12">
        <w:rPr>
          <w:sz w:val="22"/>
          <w:szCs w:val="22"/>
        </w:rPr>
        <w:t xml:space="preserve"> (Lisia), </w:t>
      </w:r>
      <w:r w:rsidR="0033062E" w:rsidRPr="00941D12">
        <w:rPr>
          <w:i/>
          <w:sz w:val="22"/>
          <w:szCs w:val="22"/>
        </w:rPr>
        <w:t>263</w:t>
      </w:r>
      <w:r w:rsidR="0033062E" w:rsidRPr="00941D12">
        <w:rPr>
          <w:sz w:val="22"/>
          <w:szCs w:val="22"/>
        </w:rPr>
        <w:t xml:space="preserve"> (Iseo), </w:t>
      </w:r>
      <w:r w:rsidR="0033062E" w:rsidRPr="00941D12">
        <w:rPr>
          <w:i/>
          <w:sz w:val="22"/>
          <w:szCs w:val="22"/>
        </w:rPr>
        <w:t>264</w:t>
      </w:r>
      <w:r w:rsidR="0033062E" w:rsidRPr="00941D12">
        <w:rPr>
          <w:sz w:val="22"/>
          <w:szCs w:val="22"/>
        </w:rPr>
        <w:t xml:space="preserve"> (Eschine), </w:t>
      </w:r>
      <w:r w:rsidR="0033062E" w:rsidRPr="00941D12">
        <w:rPr>
          <w:i/>
          <w:sz w:val="22"/>
          <w:szCs w:val="22"/>
        </w:rPr>
        <w:t>265</w:t>
      </w:r>
      <w:r w:rsidR="0033062E" w:rsidRPr="00941D12">
        <w:rPr>
          <w:sz w:val="22"/>
          <w:szCs w:val="22"/>
        </w:rPr>
        <w:t xml:space="preserve"> (Demostene), </w:t>
      </w:r>
      <w:r w:rsidR="0033062E" w:rsidRPr="00941D12">
        <w:rPr>
          <w:i/>
          <w:sz w:val="22"/>
          <w:szCs w:val="22"/>
        </w:rPr>
        <w:t>266</w:t>
      </w:r>
      <w:r w:rsidR="0033062E" w:rsidRPr="00941D12">
        <w:rPr>
          <w:sz w:val="22"/>
          <w:szCs w:val="22"/>
        </w:rPr>
        <w:t xml:space="preserve"> (Iperide), </w:t>
      </w:r>
      <w:r w:rsidR="0033062E" w:rsidRPr="00941D12">
        <w:rPr>
          <w:i/>
          <w:sz w:val="22"/>
          <w:szCs w:val="22"/>
        </w:rPr>
        <w:t>267</w:t>
      </w:r>
      <w:r w:rsidR="0033062E" w:rsidRPr="00941D12">
        <w:rPr>
          <w:sz w:val="22"/>
          <w:szCs w:val="22"/>
        </w:rPr>
        <w:t xml:space="preserve"> (Dinarco), </w:t>
      </w:r>
      <w:r w:rsidR="0033062E" w:rsidRPr="00941D12">
        <w:rPr>
          <w:i/>
          <w:sz w:val="22"/>
          <w:szCs w:val="22"/>
        </w:rPr>
        <w:t>268</w:t>
      </w:r>
      <w:r w:rsidR="0033062E" w:rsidRPr="00941D12">
        <w:rPr>
          <w:sz w:val="22"/>
          <w:szCs w:val="22"/>
        </w:rPr>
        <w:t xml:space="preserve"> (Licurgo), in: </w:t>
      </w:r>
      <w:r w:rsidR="0033062E" w:rsidRPr="00941D12">
        <w:rPr>
          <w:i/>
          <w:iCs/>
          <w:sz w:val="22"/>
          <w:szCs w:val="22"/>
        </w:rPr>
        <w:t>Fozio. Biblioteca</w:t>
      </w:r>
      <w:r w:rsidR="0033062E" w:rsidRPr="00941D12">
        <w:rPr>
          <w:sz w:val="22"/>
          <w:szCs w:val="22"/>
        </w:rPr>
        <w:t>, a c. di N. Bianchi - C. Schiano, Pisa, 2019</w:t>
      </w:r>
      <w:r w:rsidR="0033062E" w:rsidRPr="00941D12">
        <w:rPr>
          <w:sz w:val="22"/>
          <w:szCs w:val="22"/>
          <w:vertAlign w:val="superscript"/>
        </w:rPr>
        <w:t>2</w:t>
      </w:r>
      <w:r w:rsidR="0033062E" w:rsidRPr="00941D12">
        <w:rPr>
          <w:sz w:val="22"/>
          <w:szCs w:val="22"/>
        </w:rPr>
        <w:t>, pp. LXXXVII, LXXXVIII, XCIII, 43-45, 67, 183-184, 458-459,  471-472, 1017-1039, 1199-1208</w:t>
      </w:r>
    </w:p>
    <w:p w14:paraId="7046E27A" w14:textId="77777777" w:rsidR="0033062E" w:rsidRPr="00941D12" w:rsidRDefault="00941D12" w:rsidP="0033062E">
      <w:pPr>
        <w:autoSpaceDE w:val="0"/>
        <w:autoSpaceDN w:val="0"/>
        <w:adjustRightInd w:val="0"/>
        <w:jc w:val="both"/>
        <w:rPr>
          <w:sz w:val="22"/>
          <w:szCs w:val="22"/>
          <w:u w:val="single"/>
          <w:lang w:val="en-GB"/>
        </w:rPr>
      </w:pPr>
      <w:r w:rsidRPr="00941D12">
        <w:rPr>
          <w:sz w:val="22"/>
          <w:szCs w:val="22"/>
          <w:u w:val="single"/>
          <w:lang w:val="en-GB"/>
        </w:rPr>
        <w:t>e</w:t>
      </w:r>
      <w:r w:rsidR="0033062E" w:rsidRPr="00941D12">
        <w:rPr>
          <w:sz w:val="22"/>
          <w:szCs w:val="22"/>
          <w:u w:val="single"/>
          <w:lang w:val="en-GB"/>
        </w:rPr>
        <w:t>ditions of papyri</w:t>
      </w:r>
    </w:p>
    <w:p w14:paraId="6A6B5A81" w14:textId="77777777" w:rsidR="0033062E" w:rsidRPr="00941D12" w:rsidRDefault="00941D12" w:rsidP="0033062E">
      <w:pPr>
        <w:autoSpaceDE w:val="0"/>
        <w:autoSpaceDN w:val="0"/>
        <w:adjustRightInd w:val="0"/>
        <w:jc w:val="both"/>
        <w:rPr>
          <w:sz w:val="22"/>
          <w:szCs w:val="22"/>
          <w:lang w:val="en-GB"/>
        </w:rPr>
      </w:pPr>
      <w:r>
        <w:rPr>
          <w:iCs/>
          <w:sz w:val="22"/>
          <w:szCs w:val="22"/>
        </w:rPr>
        <w:t xml:space="preserve">- </w:t>
      </w:r>
      <w:r w:rsidR="0033062E" w:rsidRPr="00941D12">
        <w:rPr>
          <w:i/>
          <w:iCs/>
          <w:sz w:val="22"/>
          <w:szCs w:val="22"/>
          <w:lang w:val="en-GB"/>
        </w:rPr>
        <w:t>4827. Lease of Land</w:t>
      </w:r>
      <w:r w:rsidR="0033062E" w:rsidRPr="00941D12">
        <w:rPr>
          <w:sz w:val="22"/>
          <w:szCs w:val="22"/>
          <w:lang w:val="en-GB"/>
        </w:rPr>
        <w:t xml:space="preserve">, </w:t>
      </w:r>
      <w:r w:rsidR="0033062E" w:rsidRPr="00941D12">
        <w:rPr>
          <w:i/>
          <w:iCs/>
          <w:sz w:val="22"/>
          <w:szCs w:val="22"/>
          <w:lang w:val="en-GB"/>
        </w:rPr>
        <w:t xml:space="preserve">The </w:t>
      </w:r>
      <w:proofErr w:type="spellStart"/>
      <w:r w:rsidR="0033062E" w:rsidRPr="00941D12">
        <w:rPr>
          <w:i/>
          <w:iCs/>
          <w:sz w:val="22"/>
          <w:szCs w:val="22"/>
          <w:lang w:val="en-GB"/>
        </w:rPr>
        <w:t>Oxyrhynchus</w:t>
      </w:r>
      <w:proofErr w:type="spellEnd"/>
      <w:r w:rsidR="0033062E" w:rsidRPr="00941D12">
        <w:rPr>
          <w:i/>
          <w:iCs/>
          <w:sz w:val="22"/>
          <w:szCs w:val="22"/>
          <w:lang w:val="en-GB"/>
        </w:rPr>
        <w:t xml:space="preserve"> Papyri</w:t>
      </w:r>
      <w:r w:rsidR="0033062E" w:rsidRPr="00941D12">
        <w:rPr>
          <w:sz w:val="22"/>
          <w:szCs w:val="22"/>
          <w:lang w:val="en-GB"/>
        </w:rPr>
        <w:t xml:space="preserve">, LXXI, London 2007, pp. 124-128 </w:t>
      </w:r>
    </w:p>
    <w:p w14:paraId="337BEE31" w14:textId="77777777" w:rsidR="0033062E" w:rsidRPr="00941D12" w:rsidRDefault="00941D12" w:rsidP="0033062E">
      <w:pPr>
        <w:autoSpaceDE w:val="0"/>
        <w:autoSpaceDN w:val="0"/>
        <w:adjustRightInd w:val="0"/>
        <w:jc w:val="both"/>
        <w:rPr>
          <w:i/>
          <w:iCs/>
          <w:sz w:val="22"/>
          <w:szCs w:val="22"/>
          <w:lang w:val="en-GB"/>
        </w:rPr>
      </w:pPr>
      <w:r>
        <w:rPr>
          <w:iCs/>
          <w:sz w:val="22"/>
          <w:szCs w:val="22"/>
        </w:rPr>
        <w:t xml:space="preserve">- </w:t>
      </w:r>
      <w:r w:rsidR="0033062E" w:rsidRPr="00941D12">
        <w:rPr>
          <w:i/>
          <w:iCs/>
          <w:sz w:val="22"/>
          <w:szCs w:val="22"/>
          <w:lang w:val="en-GB"/>
        </w:rPr>
        <w:t>4828. Loan of Money</w:t>
      </w:r>
      <w:r w:rsidR="0033062E" w:rsidRPr="00941D12">
        <w:rPr>
          <w:sz w:val="22"/>
          <w:szCs w:val="22"/>
          <w:lang w:val="en-GB"/>
        </w:rPr>
        <w:t xml:space="preserve">, </w:t>
      </w:r>
      <w:r w:rsidR="0033062E" w:rsidRPr="00941D12">
        <w:rPr>
          <w:i/>
          <w:iCs/>
          <w:sz w:val="22"/>
          <w:szCs w:val="22"/>
          <w:lang w:val="en-GB"/>
        </w:rPr>
        <w:t xml:space="preserve">The </w:t>
      </w:r>
      <w:proofErr w:type="spellStart"/>
      <w:r w:rsidR="0033062E" w:rsidRPr="00941D12">
        <w:rPr>
          <w:i/>
          <w:iCs/>
          <w:sz w:val="22"/>
          <w:szCs w:val="22"/>
          <w:lang w:val="en-GB"/>
        </w:rPr>
        <w:t>Oxyrhynchus</w:t>
      </w:r>
      <w:proofErr w:type="spellEnd"/>
      <w:r w:rsidR="0033062E" w:rsidRPr="00941D12">
        <w:rPr>
          <w:i/>
          <w:iCs/>
          <w:sz w:val="22"/>
          <w:szCs w:val="22"/>
          <w:lang w:val="en-GB"/>
        </w:rPr>
        <w:t xml:space="preserve"> Papyri</w:t>
      </w:r>
      <w:r w:rsidR="0033062E" w:rsidRPr="00941D12">
        <w:rPr>
          <w:sz w:val="22"/>
          <w:szCs w:val="22"/>
          <w:lang w:val="en-GB"/>
        </w:rPr>
        <w:t>, LXXI, London 2007, pp. 128-130</w:t>
      </w:r>
    </w:p>
    <w:p w14:paraId="346D93C9" w14:textId="77777777" w:rsidR="0033062E" w:rsidRPr="00941D12" w:rsidRDefault="00941D12" w:rsidP="0033062E">
      <w:pPr>
        <w:autoSpaceDE w:val="0"/>
        <w:autoSpaceDN w:val="0"/>
        <w:adjustRightInd w:val="0"/>
        <w:jc w:val="both"/>
        <w:rPr>
          <w:sz w:val="22"/>
          <w:szCs w:val="22"/>
          <w:lang w:val="en-GB"/>
        </w:rPr>
      </w:pPr>
      <w:r>
        <w:rPr>
          <w:iCs/>
          <w:sz w:val="22"/>
          <w:szCs w:val="22"/>
        </w:rPr>
        <w:t xml:space="preserve">- </w:t>
      </w:r>
      <w:r w:rsidR="0033062E" w:rsidRPr="00941D12">
        <w:rPr>
          <w:i/>
          <w:iCs/>
          <w:sz w:val="22"/>
          <w:szCs w:val="22"/>
          <w:lang w:val="en-GB"/>
        </w:rPr>
        <w:t>5004. Order to arrest</w:t>
      </w:r>
      <w:r w:rsidR="0033062E" w:rsidRPr="00941D12">
        <w:rPr>
          <w:sz w:val="22"/>
          <w:szCs w:val="22"/>
          <w:lang w:val="en-GB"/>
        </w:rPr>
        <w:t xml:space="preserve">, </w:t>
      </w:r>
      <w:r w:rsidR="0033062E" w:rsidRPr="00941D12">
        <w:rPr>
          <w:i/>
          <w:iCs/>
          <w:sz w:val="22"/>
          <w:szCs w:val="22"/>
          <w:lang w:val="en-GB"/>
        </w:rPr>
        <w:t xml:space="preserve">The </w:t>
      </w:r>
      <w:proofErr w:type="spellStart"/>
      <w:r w:rsidR="0033062E" w:rsidRPr="00941D12">
        <w:rPr>
          <w:i/>
          <w:iCs/>
          <w:sz w:val="22"/>
          <w:szCs w:val="22"/>
          <w:lang w:val="en-GB"/>
        </w:rPr>
        <w:t>Oxyrhynchus</w:t>
      </w:r>
      <w:proofErr w:type="spellEnd"/>
      <w:r w:rsidR="0033062E" w:rsidRPr="00941D12">
        <w:rPr>
          <w:i/>
          <w:iCs/>
          <w:sz w:val="22"/>
          <w:szCs w:val="22"/>
          <w:lang w:val="en-GB"/>
        </w:rPr>
        <w:t xml:space="preserve"> Papyri</w:t>
      </w:r>
      <w:r w:rsidR="0033062E" w:rsidRPr="00941D12">
        <w:rPr>
          <w:sz w:val="22"/>
          <w:szCs w:val="22"/>
          <w:lang w:val="en-GB"/>
        </w:rPr>
        <w:t xml:space="preserve">, LXXIV, London 2009, pp. 138-139 </w:t>
      </w:r>
    </w:p>
    <w:p w14:paraId="6ACB5285" w14:textId="77777777" w:rsidR="0033062E" w:rsidRPr="00941D12" w:rsidRDefault="00941D12" w:rsidP="0033062E">
      <w:pPr>
        <w:autoSpaceDE w:val="0"/>
        <w:autoSpaceDN w:val="0"/>
        <w:adjustRightInd w:val="0"/>
        <w:jc w:val="both"/>
        <w:rPr>
          <w:sz w:val="22"/>
          <w:szCs w:val="22"/>
          <w:lang w:val="en-GB"/>
        </w:rPr>
      </w:pPr>
      <w:r>
        <w:rPr>
          <w:iCs/>
          <w:sz w:val="22"/>
          <w:szCs w:val="22"/>
        </w:rPr>
        <w:t xml:space="preserve">- </w:t>
      </w:r>
      <w:r w:rsidR="0033062E" w:rsidRPr="00941D12">
        <w:rPr>
          <w:i/>
          <w:iCs/>
          <w:sz w:val="22"/>
          <w:szCs w:val="22"/>
          <w:lang w:val="en-GB"/>
        </w:rPr>
        <w:t xml:space="preserve">5145. Isocrates, </w:t>
      </w:r>
      <w:proofErr w:type="spellStart"/>
      <w:r w:rsidR="0033062E" w:rsidRPr="00941D12">
        <w:rPr>
          <w:i/>
          <w:iCs/>
          <w:sz w:val="22"/>
          <w:szCs w:val="22"/>
          <w:lang w:val="en-GB"/>
        </w:rPr>
        <w:t>Philippus</w:t>
      </w:r>
      <w:proofErr w:type="spellEnd"/>
      <w:r w:rsidR="0033062E" w:rsidRPr="00941D12">
        <w:rPr>
          <w:i/>
          <w:iCs/>
          <w:sz w:val="22"/>
          <w:szCs w:val="22"/>
          <w:lang w:val="en-GB"/>
        </w:rPr>
        <w:t xml:space="preserve"> 117–19, 121–3, 126–7</w:t>
      </w:r>
      <w:r w:rsidR="0033062E" w:rsidRPr="00941D12">
        <w:rPr>
          <w:sz w:val="22"/>
          <w:szCs w:val="22"/>
          <w:lang w:val="en-GB"/>
        </w:rPr>
        <w:t>, London 2012, pp. 69-72</w:t>
      </w:r>
    </w:p>
    <w:p w14:paraId="1529A39E" w14:textId="77777777" w:rsidR="0033062E" w:rsidRPr="00941D12" w:rsidRDefault="00941D12" w:rsidP="0033062E">
      <w:pPr>
        <w:autoSpaceDE w:val="0"/>
        <w:autoSpaceDN w:val="0"/>
        <w:adjustRightInd w:val="0"/>
        <w:jc w:val="both"/>
        <w:rPr>
          <w:sz w:val="22"/>
          <w:szCs w:val="22"/>
          <w:lang w:val="en-GB"/>
        </w:rPr>
      </w:pPr>
      <w:r>
        <w:rPr>
          <w:iCs/>
          <w:sz w:val="22"/>
          <w:szCs w:val="22"/>
        </w:rPr>
        <w:t xml:space="preserve">- </w:t>
      </w:r>
      <w:r w:rsidR="0033062E" w:rsidRPr="00941D12">
        <w:rPr>
          <w:i/>
          <w:iCs/>
          <w:sz w:val="22"/>
          <w:szCs w:val="22"/>
          <w:lang w:val="en-GB"/>
        </w:rPr>
        <w:t xml:space="preserve">5147. Isocrates, </w:t>
      </w:r>
      <w:proofErr w:type="spellStart"/>
      <w:r w:rsidR="0033062E" w:rsidRPr="00941D12">
        <w:rPr>
          <w:i/>
          <w:iCs/>
          <w:sz w:val="22"/>
          <w:szCs w:val="22"/>
          <w:lang w:val="en-GB"/>
        </w:rPr>
        <w:t>Antidosis</w:t>
      </w:r>
      <w:proofErr w:type="spellEnd"/>
      <w:r w:rsidR="0033062E" w:rsidRPr="00941D12">
        <w:rPr>
          <w:i/>
          <w:iCs/>
          <w:sz w:val="22"/>
          <w:szCs w:val="22"/>
          <w:lang w:val="en-GB"/>
        </w:rPr>
        <w:t xml:space="preserve"> 2–4</w:t>
      </w:r>
      <w:r w:rsidR="0033062E" w:rsidRPr="00941D12">
        <w:rPr>
          <w:sz w:val="22"/>
          <w:szCs w:val="22"/>
          <w:lang w:val="en-GB"/>
        </w:rPr>
        <w:t xml:space="preserve">, </w:t>
      </w:r>
      <w:r w:rsidR="0033062E" w:rsidRPr="00941D12">
        <w:rPr>
          <w:i/>
          <w:iCs/>
          <w:sz w:val="22"/>
          <w:szCs w:val="22"/>
          <w:lang w:val="en-GB"/>
        </w:rPr>
        <w:t xml:space="preserve">The </w:t>
      </w:r>
      <w:proofErr w:type="spellStart"/>
      <w:r w:rsidR="0033062E" w:rsidRPr="00941D12">
        <w:rPr>
          <w:i/>
          <w:iCs/>
          <w:sz w:val="22"/>
          <w:szCs w:val="22"/>
          <w:lang w:val="en-GB"/>
        </w:rPr>
        <w:t>Oxyrhynchus</w:t>
      </w:r>
      <w:proofErr w:type="spellEnd"/>
      <w:r w:rsidR="0033062E" w:rsidRPr="00941D12">
        <w:rPr>
          <w:i/>
          <w:iCs/>
          <w:sz w:val="22"/>
          <w:szCs w:val="22"/>
          <w:lang w:val="en-GB"/>
        </w:rPr>
        <w:t xml:space="preserve"> Papyri</w:t>
      </w:r>
      <w:r w:rsidR="0033062E" w:rsidRPr="00941D12">
        <w:rPr>
          <w:sz w:val="22"/>
          <w:szCs w:val="22"/>
          <w:lang w:val="en-GB"/>
        </w:rPr>
        <w:t xml:space="preserve">, LXXVIII, London 2012, pp. 74-75 </w:t>
      </w:r>
    </w:p>
    <w:p w14:paraId="79769C11" w14:textId="77777777" w:rsidR="00825421" w:rsidRPr="0033062E" w:rsidRDefault="00941D12" w:rsidP="00825421">
      <w:pPr>
        <w:autoSpaceDE w:val="0"/>
        <w:autoSpaceDN w:val="0"/>
        <w:adjustRightInd w:val="0"/>
        <w:jc w:val="both"/>
        <w:rPr>
          <w:lang w:val="en-GB"/>
        </w:rPr>
      </w:pPr>
      <w:r>
        <w:rPr>
          <w:iCs/>
          <w:sz w:val="22"/>
          <w:szCs w:val="22"/>
        </w:rPr>
        <w:t xml:space="preserve">- </w:t>
      </w:r>
      <w:r w:rsidR="0033062E" w:rsidRPr="00941D12">
        <w:rPr>
          <w:i/>
          <w:iCs/>
          <w:sz w:val="22"/>
          <w:szCs w:val="22"/>
          <w:lang w:val="en-GB"/>
        </w:rPr>
        <w:t xml:space="preserve">5491. Isocrates, </w:t>
      </w:r>
      <w:proofErr w:type="spellStart"/>
      <w:r w:rsidR="0033062E" w:rsidRPr="00941D12">
        <w:rPr>
          <w:i/>
          <w:iCs/>
          <w:sz w:val="22"/>
          <w:szCs w:val="22"/>
          <w:lang w:val="en-GB"/>
        </w:rPr>
        <w:t>Panathenaicus</w:t>
      </w:r>
      <w:proofErr w:type="spellEnd"/>
      <w:r w:rsidR="0033062E" w:rsidRPr="00941D12">
        <w:rPr>
          <w:i/>
          <w:iCs/>
          <w:sz w:val="22"/>
          <w:szCs w:val="22"/>
          <w:lang w:val="en-GB"/>
        </w:rPr>
        <w:t xml:space="preserve"> 80–83</w:t>
      </w:r>
      <w:r w:rsidR="0033062E" w:rsidRPr="00941D12">
        <w:rPr>
          <w:iCs/>
          <w:sz w:val="22"/>
          <w:szCs w:val="22"/>
          <w:lang w:val="en-GB"/>
        </w:rPr>
        <w:t xml:space="preserve">, </w:t>
      </w:r>
      <w:r w:rsidR="0033062E" w:rsidRPr="00941D12">
        <w:rPr>
          <w:i/>
          <w:iCs/>
          <w:sz w:val="22"/>
          <w:szCs w:val="22"/>
          <w:lang w:val="en-GB"/>
        </w:rPr>
        <w:t xml:space="preserve">The </w:t>
      </w:r>
      <w:proofErr w:type="spellStart"/>
      <w:r w:rsidR="0033062E" w:rsidRPr="00941D12">
        <w:rPr>
          <w:i/>
          <w:iCs/>
          <w:sz w:val="22"/>
          <w:szCs w:val="22"/>
          <w:lang w:val="en-GB"/>
        </w:rPr>
        <w:t>Oxyrhynchus</w:t>
      </w:r>
      <w:proofErr w:type="spellEnd"/>
      <w:r w:rsidR="0033062E" w:rsidRPr="00941D12">
        <w:rPr>
          <w:i/>
          <w:iCs/>
          <w:sz w:val="22"/>
          <w:szCs w:val="22"/>
          <w:lang w:val="en-GB"/>
        </w:rPr>
        <w:t xml:space="preserve"> Papyri</w:t>
      </w:r>
      <w:r w:rsidR="0033062E" w:rsidRPr="00941D12">
        <w:rPr>
          <w:sz w:val="22"/>
          <w:szCs w:val="22"/>
          <w:lang w:val="en-GB"/>
        </w:rPr>
        <w:t>, LXXXV, London 2020, pp. 44-47</w:t>
      </w:r>
    </w:p>
    <w:sectPr w:rsidR="00825421" w:rsidRPr="0033062E" w:rsidSect="00B54B31">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15AE" w14:textId="77777777" w:rsidR="005321E5" w:rsidRDefault="005321E5" w:rsidP="009C7E72">
      <w:r>
        <w:separator/>
      </w:r>
    </w:p>
  </w:endnote>
  <w:endnote w:type="continuationSeparator" w:id="0">
    <w:p w14:paraId="4AF07874" w14:textId="77777777" w:rsidR="005321E5" w:rsidRDefault="005321E5" w:rsidP="009C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2363"/>
      <w:docPartObj>
        <w:docPartGallery w:val="Page Numbers (Bottom of Page)"/>
        <w:docPartUnique/>
      </w:docPartObj>
    </w:sdtPr>
    <w:sdtEndPr/>
    <w:sdtContent>
      <w:p w14:paraId="24079186" w14:textId="77777777" w:rsidR="00681338" w:rsidRDefault="00F058A6">
        <w:pPr>
          <w:pStyle w:val="a6"/>
          <w:jc w:val="right"/>
        </w:pPr>
        <w:r>
          <w:fldChar w:fldCharType="begin"/>
        </w:r>
        <w:r>
          <w:instrText xml:space="preserve"> PAGE   \* MERGEFORMAT </w:instrText>
        </w:r>
        <w:r>
          <w:fldChar w:fldCharType="separate"/>
        </w:r>
        <w:r w:rsidR="00941D12">
          <w:rPr>
            <w:noProof/>
          </w:rPr>
          <w:t>2</w:t>
        </w:r>
        <w:r>
          <w:rPr>
            <w:noProof/>
          </w:rPr>
          <w:fldChar w:fldCharType="end"/>
        </w:r>
      </w:p>
    </w:sdtContent>
  </w:sdt>
  <w:p w14:paraId="516679A6" w14:textId="77777777" w:rsidR="00681338" w:rsidRDefault="006813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CCC3" w14:textId="77777777" w:rsidR="005321E5" w:rsidRDefault="005321E5" w:rsidP="009C7E72">
      <w:r>
        <w:separator/>
      </w:r>
    </w:p>
  </w:footnote>
  <w:footnote w:type="continuationSeparator" w:id="0">
    <w:p w14:paraId="051C81E3" w14:textId="77777777" w:rsidR="005321E5" w:rsidRDefault="005321E5" w:rsidP="009C7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2D"/>
    <w:rsid w:val="000535BA"/>
    <w:rsid w:val="000A0B0A"/>
    <w:rsid w:val="000C4A89"/>
    <w:rsid w:val="000C4F9E"/>
    <w:rsid w:val="000F69DE"/>
    <w:rsid w:val="001741ED"/>
    <w:rsid w:val="001B42FD"/>
    <w:rsid w:val="001F302B"/>
    <w:rsid w:val="001F3D3B"/>
    <w:rsid w:val="002131E7"/>
    <w:rsid w:val="00280431"/>
    <w:rsid w:val="0028579B"/>
    <w:rsid w:val="002C3D14"/>
    <w:rsid w:val="0033062E"/>
    <w:rsid w:val="00366FFB"/>
    <w:rsid w:val="003670B4"/>
    <w:rsid w:val="00410AA2"/>
    <w:rsid w:val="00432079"/>
    <w:rsid w:val="00473766"/>
    <w:rsid w:val="00475A89"/>
    <w:rsid w:val="00481083"/>
    <w:rsid w:val="004A155D"/>
    <w:rsid w:val="0052477A"/>
    <w:rsid w:val="005321E5"/>
    <w:rsid w:val="005679DA"/>
    <w:rsid w:val="0058728C"/>
    <w:rsid w:val="00680D9D"/>
    <w:rsid w:val="00681338"/>
    <w:rsid w:val="006D3989"/>
    <w:rsid w:val="006F5C2B"/>
    <w:rsid w:val="007064FA"/>
    <w:rsid w:val="007147A6"/>
    <w:rsid w:val="00765C4D"/>
    <w:rsid w:val="0077279B"/>
    <w:rsid w:val="007768FF"/>
    <w:rsid w:val="00783D2E"/>
    <w:rsid w:val="007A2E23"/>
    <w:rsid w:val="007C2E19"/>
    <w:rsid w:val="007C480B"/>
    <w:rsid w:val="007E0543"/>
    <w:rsid w:val="007E68C5"/>
    <w:rsid w:val="00825421"/>
    <w:rsid w:val="00826338"/>
    <w:rsid w:val="00842524"/>
    <w:rsid w:val="00852783"/>
    <w:rsid w:val="0085682D"/>
    <w:rsid w:val="008824E3"/>
    <w:rsid w:val="008B64E5"/>
    <w:rsid w:val="008C3184"/>
    <w:rsid w:val="00941D12"/>
    <w:rsid w:val="00944893"/>
    <w:rsid w:val="00970334"/>
    <w:rsid w:val="00980E69"/>
    <w:rsid w:val="009B5C0E"/>
    <w:rsid w:val="009C7E72"/>
    <w:rsid w:val="009D0B19"/>
    <w:rsid w:val="009E3D2C"/>
    <w:rsid w:val="009F19FA"/>
    <w:rsid w:val="00A41D28"/>
    <w:rsid w:val="00A53B0D"/>
    <w:rsid w:val="00AE6C93"/>
    <w:rsid w:val="00B127B7"/>
    <w:rsid w:val="00B21811"/>
    <w:rsid w:val="00B3728E"/>
    <w:rsid w:val="00B4239D"/>
    <w:rsid w:val="00B54B31"/>
    <w:rsid w:val="00B71DE5"/>
    <w:rsid w:val="00BD737B"/>
    <w:rsid w:val="00BE0D64"/>
    <w:rsid w:val="00C32061"/>
    <w:rsid w:val="00C42CB7"/>
    <w:rsid w:val="00CA712B"/>
    <w:rsid w:val="00CD16FA"/>
    <w:rsid w:val="00CD23FF"/>
    <w:rsid w:val="00CE186B"/>
    <w:rsid w:val="00D6621A"/>
    <w:rsid w:val="00D94686"/>
    <w:rsid w:val="00DC1ED5"/>
    <w:rsid w:val="00E36090"/>
    <w:rsid w:val="00E40EB8"/>
    <w:rsid w:val="00EE030D"/>
    <w:rsid w:val="00F058A6"/>
    <w:rsid w:val="00F51F4A"/>
    <w:rsid w:val="00F70D2F"/>
    <w:rsid w:val="00F755B5"/>
    <w:rsid w:val="00F95867"/>
    <w:rsid w:val="00FD00DC"/>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867E"/>
  <w15:docId w15:val="{B310E65E-5E72-3944-822C-4A62381B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82D"/>
    <w:pPr>
      <w:spacing w:after="0" w:line="240" w:lineRule="auto"/>
    </w:pPr>
    <w:rPr>
      <w:rFonts w:ascii="Times New Roman" w:eastAsia="Times New Roman" w:hAnsi="Times New Roman" w:cs="Times New Roman"/>
      <w:sz w:val="24"/>
      <w:szCs w:val="24"/>
      <w:lang w:eastAsia="it-IT"/>
    </w:rPr>
  </w:style>
  <w:style w:type="paragraph" w:styleId="2">
    <w:name w:val="heading 2"/>
    <w:basedOn w:val="a"/>
    <w:next w:val="a"/>
    <w:link w:val="2Char"/>
    <w:uiPriority w:val="9"/>
    <w:unhideWhenUsed/>
    <w:qFormat/>
    <w:rsid w:val="004737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Char"/>
    <w:qFormat/>
    <w:rsid w:val="0085682D"/>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85682D"/>
    <w:rPr>
      <w:rFonts w:ascii="Times New Roman" w:eastAsia="Times New Roman" w:hAnsi="Times New Roman" w:cs="Times New Roman"/>
      <w:b/>
      <w:bCs/>
      <w:sz w:val="15"/>
      <w:szCs w:val="15"/>
      <w:lang w:eastAsia="it-IT"/>
    </w:rPr>
  </w:style>
  <w:style w:type="paragraph" w:styleId="Web">
    <w:name w:val="Normal (Web)"/>
    <w:basedOn w:val="a"/>
    <w:rsid w:val="0085682D"/>
    <w:pPr>
      <w:spacing w:before="100" w:beforeAutospacing="1" w:after="100" w:afterAutospacing="1"/>
    </w:pPr>
  </w:style>
  <w:style w:type="paragraph" w:customStyle="1" w:styleId="Default">
    <w:name w:val="Default"/>
    <w:rsid w:val="0085682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st">
    <w:name w:val="st"/>
    <w:basedOn w:val="a0"/>
    <w:rsid w:val="0085682D"/>
  </w:style>
  <w:style w:type="character" w:customStyle="1" w:styleId="completetext">
    <w:name w:val="complete_text"/>
    <w:basedOn w:val="a0"/>
    <w:rsid w:val="0085682D"/>
  </w:style>
  <w:style w:type="character" w:styleId="a3">
    <w:name w:val="Emphasis"/>
    <w:basedOn w:val="a0"/>
    <w:uiPriority w:val="20"/>
    <w:qFormat/>
    <w:rsid w:val="0085682D"/>
    <w:rPr>
      <w:b/>
      <w:bCs/>
      <w:i w:val="0"/>
      <w:iCs w:val="0"/>
    </w:rPr>
  </w:style>
  <w:style w:type="character" w:customStyle="1" w:styleId="st1">
    <w:name w:val="st1"/>
    <w:basedOn w:val="a0"/>
    <w:rsid w:val="0085682D"/>
  </w:style>
  <w:style w:type="character" w:customStyle="1" w:styleId="style8">
    <w:name w:val="style_8"/>
    <w:basedOn w:val="a0"/>
    <w:rsid w:val="00410AA2"/>
  </w:style>
  <w:style w:type="paragraph" w:styleId="a4">
    <w:name w:val="Balloon Text"/>
    <w:basedOn w:val="a"/>
    <w:link w:val="Char"/>
    <w:uiPriority w:val="99"/>
    <w:semiHidden/>
    <w:unhideWhenUsed/>
    <w:rsid w:val="00826338"/>
    <w:rPr>
      <w:rFonts w:ascii="Tahoma" w:hAnsi="Tahoma" w:cs="Tahoma"/>
      <w:sz w:val="16"/>
      <w:szCs w:val="16"/>
    </w:rPr>
  </w:style>
  <w:style w:type="character" w:customStyle="1" w:styleId="Char">
    <w:name w:val="Κείμενο πλαισίου Char"/>
    <w:basedOn w:val="a0"/>
    <w:link w:val="a4"/>
    <w:uiPriority w:val="99"/>
    <w:semiHidden/>
    <w:rsid w:val="00826338"/>
    <w:rPr>
      <w:rFonts w:ascii="Tahoma" w:eastAsia="Times New Roman" w:hAnsi="Tahoma" w:cs="Tahoma"/>
      <w:sz w:val="16"/>
      <w:szCs w:val="16"/>
      <w:lang w:eastAsia="it-IT"/>
    </w:rPr>
  </w:style>
  <w:style w:type="paragraph" w:styleId="a5">
    <w:name w:val="header"/>
    <w:basedOn w:val="a"/>
    <w:link w:val="Char0"/>
    <w:uiPriority w:val="99"/>
    <w:semiHidden/>
    <w:unhideWhenUsed/>
    <w:rsid w:val="009C7E72"/>
    <w:pPr>
      <w:tabs>
        <w:tab w:val="center" w:pos="4819"/>
        <w:tab w:val="right" w:pos="9638"/>
      </w:tabs>
    </w:pPr>
  </w:style>
  <w:style w:type="character" w:customStyle="1" w:styleId="Char0">
    <w:name w:val="Κεφαλίδα Char"/>
    <w:basedOn w:val="a0"/>
    <w:link w:val="a5"/>
    <w:uiPriority w:val="99"/>
    <w:semiHidden/>
    <w:rsid w:val="009C7E72"/>
    <w:rPr>
      <w:rFonts w:ascii="Times New Roman" w:eastAsia="Times New Roman" w:hAnsi="Times New Roman" w:cs="Times New Roman"/>
      <w:sz w:val="24"/>
      <w:szCs w:val="24"/>
      <w:lang w:eastAsia="it-IT"/>
    </w:rPr>
  </w:style>
  <w:style w:type="paragraph" w:styleId="a6">
    <w:name w:val="footer"/>
    <w:basedOn w:val="a"/>
    <w:link w:val="Char1"/>
    <w:uiPriority w:val="99"/>
    <w:unhideWhenUsed/>
    <w:rsid w:val="009C7E72"/>
    <w:pPr>
      <w:tabs>
        <w:tab w:val="center" w:pos="4819"/>
        <w:tab w:val="right" w:pos="9638"/>
      </w:tabs>
    </w:pPr>
  </w:style>
  <w:style w:type="character" w:customStyle="1" w:styleId="Char1">
    <w:name w:val="Υποσέλιδο Char"/>
    <w:basedOn w:val="a0"/>
    <w:link w:val="a6"/>
    <w:uiPriority w:val="99"/>
    <w:rsid w:val="009C7E72"/>
    <w:rPr>
      <w:rFonts w:ascii="Times New Roman" w:eastAsia="Times New Roman" w:hAnsi="Times New Roman" w:cs="Times New Roman"/>
      <w:sz w:val="24"/>
      <w:szCs w:val="24"/>
      <w:lang w:eastAsia="it-IT"/>
    </w:rPr>
  </w:style>
  <w:style w:type="character" w:customStyle="1" w:styleId="2Char">
    <w:name w:val="Επικεφαλίδα 2 Char"/>
    <w:basedOn w:val="a0"/>
    <w:link w:val="2"/>
    <w:uiPriority w:val="9"/>
    <w:rsid w:val="00473766"/>
    <w:rPr>
      <w:rFonts w:asciiTheme="majorHAnsi" w:eastAsiaTheme="majorEastAsia" w:hAnsiTheme="majorHAnsi" w:cstheme="majorBidi"/>
      <w:b/>
      <w:bCs/>
      <w:color w:val="4F81BD" w:themeColor="accent1"/>
      <w:sz w:val="26"/>
      <w:szCs w:val="26"/>
      <w:lang w:eastAsia="it-IT"/>
    </w:rPr>
  </w:style>
  <w:style w:type="character" w:styleId="-">
    <w:name w:val="Hyperlink"/>
    <w:basedOn w:val="a0"/>
    <w:uiPriority w:val="99"/>
    <w:semiHidden/>
    <w:unhideWhenUsed/>
    <w:rsid w:val="00473766"/>
    <w:rPr>
      <w:color w:val="0000FF"/>
      <w:u w:val="single"/>
    </w:rPr>
  </w:style>
  <w:style w:type="character" w:customStyle="1" w:styleId="small1">
    <w:name w:val="small1"/>
    <w:basedOn w:val="a0"/>
    <w:rsid w:val="00CA712B"/>
    <w:rPr>
      <w:rFonts w:ascii="Verdana" w:hAnsi="Verdana" w:hint="default"/>
      <w:color w:val="00005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6064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asismani</cp:lastModifiedBy>
  <cp:revision>2</cp:revision>
  <dcterms:created xsi:type="dcterms:W3CDTF">2022-05-16T07:24:00Z</dcterms:created>
  <dcterms:modified xsi:type="dcterms:W3CDTF">2022-05-16T07:24:00Z</dcterms:modified>
</cp:coreProperties>
</file>